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Catalogue de formations des élus intercommunaux</w:t>
      </w:r>
    </w:p>
    <w:p>
      <w:pPr>
        <w:pStyle w:val="Subtitle"/>
      </w:pPr>
      <w:r>
        <w:t>XXI Formations</w:t>
      </w:r>
    </w:p>
    <w:p>
      <w:r>
        <w:t>Programme pour le mandat 2026 à 2032</w:t>
      </w:r>
    </w:p>
    <w:p>
      <w:r>
        <w:t>Ce catalogue aide les élus à choisir des formations adaptées à leurs responsabilités. Il reprend l’ensemble des entrées du programme fourni, sépare les sujets qui exigeaient des pédagogies différentes et complète les compétences manquantes. Les modules sont mobilisables à la carte et les parcours proposés constituent des sélections, sans imposer de suivre tout le catalogue.</w:t>
      </w:r>
    </w:p>
    <w:p>
      <w:r>
        <w:t>47 fiches pédagogiques proposées à partir de 26 entrées initiales. Les codes conservés et leurs suffixes permettent de retrouver chaque offre. Les compléments portent un nouveau numéro.</w:t>
      </w:r>
    </w:p>
    <w:p>
      <w:pPr>
        <w:pStyle w:val="Heading2"/>
      </w:pPr>
      <w:r>
        <w:t>État de l’offre</w:t>
      </w:r>
    </w:p>
    <w:p>
      <w:r>
        <w:t>La structure pédagogique est rédigée. Cette édition ne prouve pas que les intervenants sont engagés, que les supports sont disponibles ou qu une session est ouverte. Chaque fiche reste une offre à préparer jusqu à la validation du dossier pédagogique et des moyens de réalisation. Les partenariats avec des associations d’élus ne sont pas affirmés sans accord confirmé.</w:t>
      </w:r>
    </w:p>
    <w:p>
      <w:r>
        <w:t>XXI Formations porte l’offre pédagogique. Des travaux de XXI Institut pourront alimenter les cas ou lectures lorsque leur contenu, leur actualité et leurs droits de réutilisation auront été vérifiés.</w:t>
      </w:r>
    </w:p>
    <w:p>
      <w:pPr>
        <w:pStyle w:val="Heading2"/>
      </w:pPr>
      <w:r>
        <w:t>Cadre temporel et juridique</w:t>
      </w:r>
    </w:p>
    <w:p>
      <w:r>
        <w:t>Les références ont été vérifiées au 8 octobre 2026 sur les points structurants. Elles sont mises à jour avant chaque session, notamment pour les seuils de commande publique, la fiscalité, la sobriété foncière et les droits des élus. Les périodes de mandat servent au positionnement pédagogique et ne constituent ni un calendrier électoral certifié ni un engagement de dates de formation.</w:t>
      </w:r>
    </w:p>
    <w:p>
      <w:pPr>
        <w:pStyle w:val="Heading1"/>
        <w:pageBreakBefore/>
      </w:pPr>
      <w:r>
        <w:t>Choisir sa formation</w:t>
      </w:r>
    </w:p>
    <w:p>
      <w:pPr>
        <w:pStyle w:val="Heading2"/>
      </w:pPr>
      <w:r>
        <w:t>Public et prérequis</w:t>
      </w:r>
    </w:p>
    <w:p>
      <w:r>
        <w:t>Public principal : élus intercommunaux. Les fiches de pilotage s adressent plus particulièrement aux exécutifs et aux élus titulaires d’une délégation ou membres de la commission concernée. Les conseillers sans délégation travaillent dans le cadre de leurs pouvoirs réels. Aucun diplôme préalable n est exigé. Pour les modules de finances spécialisées, la connaissance du budget ou le suivi du socle financier est recommandé.</w:t>
      </w:r>
    </w:p>
    <w:p>
      <w:pPr>
        <w:pStyle w:val="Heading2"/>
      </w:pPr>
      <w:r>
        <w:t>Formats et rythme</w:t>
      </w:r>
    </w:p>
    <w:p>
      <w:r>
        <w:t>Les heures indiquées correspondent à du temps pédagogique hors pauses. Le format de référence est le présentiel, en groupes de huit à quinze personnes. En cas de financement même partiel par le DIFE, la session ne dépasse pas quinze participants. Les séquences de 7 h, 10,5 h et 14 h représentent respectivement une journée, une journée et demie et deux journées. Une option de 7 h ne se cumule qu avec un objectif et un exercice supplémentaires.</w:t>
      </w:r>
    </w:p>
    <w:p>
      <w:r>
        <w:t>Les cinq formats du programme initial sont conservés : matinales de 3,5 h ; webinaires de 1,5 h ; ateliers de 3,5 h ; sessions inter EPCI de 7 h ; sessions intra EPCI adaptées sur devis. Chaque adaptation exige son propre objectif, son déroulé, ses supports et son évaluation. Un webinaire d’information ne remplace pas une formation complète de 7 h. Une classe à distance nécessite la préparation et le test des moyens numériques.</w:t>
      </w:r>
    </w:p>
    <w:p>
      <w:pPr>
        <w:pStyle w:val="Heading2"/>
      </w:pPr>
      <w:r>
        <w:t>Pédagogie et évaluation</w:t>
      </w:r>
    </w:p>
    <w:p>
      <w:r>
        <w:t>Chaque fiche articule quatre séquences, un cas de décision et une production concrète. À l’entrée, un questionnaire situe les acquis et les besoins. L exercice final est apprécié sur quatre critères : identification de l’acteur compétent, exactitude du cadre, faisabilité de la proposition, justification et traçabilité. Une grille de correction et un retour individualisé sont préparés avant ouverture. Une attestation de réalisation est remise selon les conditions effectivement remplies ; aucun titre certifiant n est annoncé.</w:t>
      </w:r>
    </w:p>
    <w:p>
      <w:pPr>
        <w:pStyle w:val="Heading2"/>
      </w:pPr>
      <w:r>
        <w:t>Accessibilité et supports</w:t>
      </w:r>
    </w:p>
    <w:p>
      <w:r>
        <w:t>Les besoins d’aménagement sont recueillis lors de l’inscription. Le lieu, les supports numériques et les modalités d’exercice sont adaptés après échange avec un référent à désigner. Les outils à préparer comprennent un support daté, un dossier de cas anonymisé ou fictif, une fiche méthode et une grille d’évaluation. Les données sensibles ne sont pas introduites dans les démonstrations d’IA.</w:t>
      </w:r>
    </w:p>
    <w:p>
      <w:pPr>
        <w:pStyle w:val="Heading1"/>
        <w:pageBreakBefore/>
      </w:pPr>
      <w:r>
        <w:t>Catalogue et domaines de rattachement</w:t>
      </w:r>
    </w:p>
    <w:p>
      <w:r>
        <w:t>Les domaines ci-dessous reprennent les six familles du répertoire national. Le rattachement est une proposition éditoriale ; il ne vaut ni agrément de XXI Formations ni validation d’éligibilité financière de chaque fiche.</w:t>
      </w:r>
    </w:p>
    <w:p>
      <w:r>
        <w:t>Avant la session, le cas est adapté à la catégorie de l’EPCI, à ses statuts, aux transferts effectifs, aux délégations et à l’intérêt communautaire. Les obligations d’une communauté de communes ne sont pas transposées sans contrôle à une communauté d’agglomération, une communauté urbaine ou une métropole. Les régimes territoriaux particuliers sont traités sur demande.</w:t>
      </w:r>
    </w:p>
    <w:p>
      <w:r>
        <w:t>1  Les fondamentaux du mandat</w:t>
      </w:r>
    </w:p>
    <w:p>
      <w:r>
        <w:t>2  Politiques publiques et actions locales</w:t>
      </w:r>
    </w:p>
    <w:p>
      <w:r>
        <w:t>3  Développement et aménagement du territoire et transition écologique</w:t>
      </w:r>
    </w:p>
    <w:p>
      <w:r>
        <w:t>4  Communication</w:t>
      </w:r>
    </w:p>
    <w:p>
      <w:r>
        <w:t>5  Finances fiscalité budget comptabilité</w:t>
      </w:r>
    </w:p>
    <w:p>
      <w:r>
        <w:t>6  Management et ressources humaines</w:t>
      </w:r>
    </w:p>
    <w:tbl>
      <w:tblPr>
        <w:tblW w:type="auto" w:w="0"/>
        <w:tblLayout w:type="fixed"/>
        <w:tblLook w:firstColumn="1" w:firstRow="1" w:lastColumn="0" w:lastRow="0" w:noHBand="0" w:noVBand="1" w:val="04A0"/>
      </w:tblPr>
      <w:tblGrid>
        <w:gridCol w:w="964"/>
        <w:gridCol w:w="6803"/>
        <w:gridCol w:w="850"/>
        <w:gridCol w:w="1525"/>
      </w:tblGrid>
      <w:tr>
        <w:trPr>
          <w:tblHeade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Code</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Formation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Heures</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Domaine</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Prendre ses fonctions de conseiller ou de vice président communautaire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projet de territoire intercommunal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les risques juridiques du mandat communautaire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les conflits d’intérêts dans le double mandat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Connaître le statut et les droits de l’élu intercommunal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budget et la prospective de l’EPCI</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la fiscalité et les relations financières avec les communes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les achats et construire une commande publique durable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Choisir et contrôler une entreprise publique locale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PLUi le SCoT et la sobriété foncière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Gouverner la politique intercommunale de l’habitat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P11A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Monter une opération d’aménagement intercommunale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P11B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la maîtrise foncière et la préemption intercommunale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Revitaliser les centralités et soutenir l’économie de proximité</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PCAET et la stratégie climatique intercommunale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P14A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l’eau et l’assainissement selon les compétences effectives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P14B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Gouverner la GEMAPI et prévenir les inondations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service des déchets et la prévention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les mobilités à l’échelle intercommunale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développement économique intercommunal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P18A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la politique touristique intercommunale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P18B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les équipements culturels sportifs et les projets partagés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Contribuer à l’emploi et à l’insertion territoriale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P20A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la petite enfance à l’échelle intercommunale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P20B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les services scolaires périscolaires et jeunesse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P21A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Contribuer à la santé territoriale et à l’accès aux soins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P21B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CIAS et l’action sociale intercommunale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P22A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la prévention et distinguer les pouvoirs de police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P22B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le PICS et la continuité des services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P23A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Informer les habitants et rendre lisible l’intercommunalité</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P23B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la participation et le conseil de développement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P24A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Gouverner les données et les usages de l’IA intercommunale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P24B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la cybercontinuité des services mutualisés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P24C</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la connectivité et l’inclusion numérique du territoire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P25A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les mutualisations entre communes et EPCI</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P25B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la fonction d’élu employeur et conduire le changement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P26A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le mandat intercommunal et préparer la passation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P26B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la communication institutionnelle préélectorale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P26C</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la transition professionnelle après le mandat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Hors mandat</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Financer et suivre un projet intercommunal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un contrôle CRC et comprendre le contentieux financier</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les politiques intercommunales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la maîtrise d’ouvrage intercommunale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la corruption et préparer un contrôle AFA</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Décider en matière de dette et de trésorerie intercommunales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Choisir et contrôler le mode de gestion d’un service intercommunal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les projets énergétiques et le patrimoine intercommunal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bl>
    <w:p>
      <w:pPr>
        <w:pStyle w:val="Heading1"/>
        <w:pageBreakBefore/>
      </w:pPr>
      <w:r>
        <w:t>Fiches pédagogiques</w:t>
      </w:r>
    </w:p>
    <w:p>
      <w:r>
        <w:t>Les objectifs de chaque fiche sont évalués par la production indiquée. Les quatre séquences ci-dessous précisent la progression. Les horaires sont un cadre proposé à ajuster au cas préparé sans réduire le volume annoncé.</w:t>
      </w:r>
    </w:p>
    <w:p>
      <w:pPr>
        <w:pStyle w:val="Heading2"/>
      </w:pPr>
      <w:r>
        <w:t>P1  Prendre ses fonctions de conseiller ou de vice président communautaire</w:t>
      </w:r>
    </w:p>
    <w:p>
      <w:pPr>
        <w:spacing w:after="100"/>
      </w:pPr>
      <w:r>
        <w:rPr>
          <w:b/>
        </w:rPr>
        <w:t xml:space="preserve">Durée et public  </w:t>
      </w:r>
      <w:r>
        <w:t>14 h • Domaine 1 • Élus concernés par le sujet. Offre pédagogique rédigée, moyens à confirmer.</w:t>
      </w:r>
    </w:p>
    <w:p>
      <w:pPr>
        <w:spacing w:after="100"/>
      </w:pPr>
      <w:r>
        <w:rPr>
          <w:b/>
        </w:rPr>
        <w:t xml:space="preserve">Objectif évalué  </w:t>
      </w:r>
      <w:r>
        <w:t>Établir une matrice des responsabilités et un calendrier d’installation.</w:t>
      </w:r>
    </w:p>
    <w:p>
      <w:pPr>
        <w:spacing w:after="60"/>
      </w:pPr>
      <w:r>
        <w:t>1  Catégorie de l’EPCI statuts et compétences effectivement exercées  •  3 h</w:t>
      </w:r>
    </w:p>
    <w:p>
      <w:pPr>
        <w:spacing w:after="60"/>
      </w:pPr>
      <w:r>
        <w:t>2  Conseil bureau présidence délégations et actes  •  4 h</w:t>
      </w:r>
    </w:p>
    <w:p>
      <w:pPr>
        <w:spacing w:after="60"/>
      </w:pPr>
      <w:r>
        <w:t>3  Pacte de gouvernance conférence des maires et relations avec les communes  •  4 h</w:t>
      </w:r>
    </w:p>
    <w:p>
      <w:pPr>
        <w:spacing w:after="60"/>
      </w:pPr>
      <w:r>
        <w:t>4  Calendrier de décision et feuille de route des cent premiers jours  •  3 h</w:t>
      </w:r>
    </w:p>
    <w:p>
      <w:pPr>
        <w:spacing w:after="100"/>
      </w:pPr>
      <w:r>
        <w:rPr>
          <w:b/>
        </w:rPr>
        <w:t xml:space="preserve">Atelier et livrable  </w:t>
      </w:r>
      <w:r>
        <w:t>Établir une matrice des responsabilités et un calendrier d’installation. Le livrable est discuté puis corrigé avec la grille commune. Le temps de production est inclus dans les séquences 3 et 4.</w:t>
      </w:r>
    </w:p>
    <w:p>
      <w:pPr>
        <w:spacing w:after="100"/>
      </w:pPr>
      <w:r>
        <w:rPr>
          <w:b/>
        </w:rPr>
        <w:t xml:space="preserve">Articulation et vigilance  </w:t>
      </w:r>
      <w:r>
        <w:t>Socle avant P3A P3B P5 et P25A. Une journée d’application de 7 h peut être ajoutée sans répéter les mêmes acquis. La distinction obligatoire optionnelle facultative du texte initial est actualisée selon la catégorie d’EPCI.</w:t>
      </w:r>
    </w:p>
    <w:p>
      <w:pPr>
        <w:pStyle w:val="Heading2"/>
      </w:pPr>
      <w:r>
        <w:t>P2  Piloter le projet de territoire intercommunal</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une feuille de route territoriale avec cinq priorités responsables et indicateurs.</w:t>
      </w:r>
    </w:p>
    <w:p>
      <w:pPr>
        <w:spacing w:after="60"/>
      </w:pPr>
      <w:r>
        <w:t>1  Diagnostic partagé compétences et besoins  •  3 h</w:t>
      </w:r>
    </w:p>
    <w:p>
      <w:pPr>
        <w:spacing w:after="60"/>
      </w:pPr>
      <w:r>
        <w:t>2  Priorités articulation SCoT PLUi PCAET et contractualisation  •  4 h</w:t>
      </w:r>
    </w:p>
    <w:p>
      <w:pPr>
        <w:spacing w:after="60"/>
      </w:pPr>
      <w:r>
        <w:t>3  Gouvernance du projet partenaires et ingénierie  •  4 h</w:t>
      </w:r>
    </w:p>
    <w:p>
      <w:pPr>
        <w:spacing w:after="60"/>
      </w:pPr>
      <w:r>
        <w:t>4  Coûts calendrier indicateurs et arbitrages  •  3 h</w:t>
      </w:r>
    </w:p>
    <w:p>
      <w:pPr>
        <w:spacing w:after="100"/>
      </w:pPr>
      <w:r>
        <w:rPr>
          <w:b/>
        </w:rPr>
        <w:t xml:space="preserve">Atelier et livrable  </w:t>
      </w:r>
      <w:r>
        <w:t>Construire une feuille de route territoriale avec cinq priorités responsables et indicateurs. Le livrable est discuté puis corrigé avec la grille commune. Le temps de production est inclus dans les séquences 3 et 4.</w:t>
      </w:r>
    </w:p>
    <w:p>
      <w:pPr>
        <w:spacing w:after="100"/>
      </w:pPr>
      <w:r>
        <w:rPr>
          <w:b/>
        </w:rPr>
        <w:t xml:space="preserve">Articulation et vigilance  </w:t>
      </w:r>
      <w:r>
        <w:t>P23B traite la participation P29 la méthode d’évaluation et P27 le financement d’une opération. Les partenaires ne sont pas présentés comme engagés.</w:t>
      </w:r>
    </w:p>
    <w:p>
      <w:pPr>
        <w:pStyle w:val="Heading2"/>
        <w:pageBreakBefore/>
      </w:pPr>
      <w:r>
        <w:t>P3A  Prévenir les risques juridiques du mandat communautaire</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Qualifier trois situations et préparer une décision documentée et une demande de protection.</w:t>
      </w:r>
    </w:p>
    <w:p>
      <w:pPr>
        <w:spacing w:after="60"/>
      </w:pPr>
      <w:r>
        <w:t>1  Responsabilités de l’EPCI des élus et des agents  •  1,5 h</w:t>
      </w:r>
    </w:p>
    <w:p>
      <w:pPr>
        <w:spacing w:after="60"/>
      </w:pPr>
      <w:r>
        <w:t>2  Risques pénaux civils administratifs et traçabilité  •  2 h</w:t>
      </w:r>
    </w:p>
    <w:p>
      <w:pPr>
        <w:spacing w:after="60"/>
      </w:pPr>
      <w:r>
        <w:t>3  Protection fonctionnelle et accès au conseil juridique  •  2 h</w:t>
      </w:r>
    </w:p>
    <w:p>
      <w:pPr>
        <w:spacing w:after="60"/>
      </w:pPr>
      <w:r>
        <w:t>4  Gestion d’une mise en cause et prévention des risques financiers  •  1,5 h</w:t>
      </w:r>
    </w:p>
    <w:p>
      <w:pPr>
        <w:spacing w:after="100"/>
      </w:pPr>
      <w:r>
        <w:rPr>
          <w:b/>
        </w:rPr>
        <w:t xml:space="preserve">Atelier et livrable  </w:t>
      </w:r>
      <w:r>
        <w:t>Qualifier trois situations et préparer une décision documentée et une demande de protection. Le livrable est discuté puis corrigé avec la grille commune. Le temps de production est inclus dans les séquences 3 et 4.</w:t>
      </w:r>
    </w:p>
    <w:p>
      <w:pPr>
        <w:spacing w:after="100"/>
      </w:pPr>
      <w:r>
        <w:rPr>
          <w:b/>
        </w:rPr>
        <w:t xml:space="preserve">Articulation et vigilance  </w:t>
      </w:r>
      <w:r>
        <w:t>Scission de P3. P3B porte sur les intérêts individuels et P28 sur les contrôles financiers. La responsabilité financière des gestionnaires publics ne s applique pas indistinctement à tous les élus.</w:t>
      </w:r>
    </w:p>
    <w:p>
      <w:pPr>
        <w:pStyle w:val="Heading2"/>
      </w:pPr>
      <w:r>
        <w:t>P3B  Prévenir les conflits d’intérêts dans le double mandat</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Analyser quatre situations de double mandat puis rédiger une procédure de déport.</w:t>
      </w:r>
    </w:p>
    <w:p>
      <w:pPr>
        <w:spacing w:after="60"/>
      </w:pPr>
      <w:r>
        <w:t>1  Intérêts personnels représentations et liens entre personnes morales  •  1,5 h</w:t>
      </w:r>
    </w:p>
    <w:p>
      <w:pPr>
        <w:spacing w:after="60"/>
      </w:pPr>
      <w:r>
        <w:t>2  Déclarations selon les fonctions et référent déontologue  •  2 h</w:t>
      </w:r>
    </w:p>
    <w:p>
      <w:pPr>
        <w:spacing w:after="60"/>
      </w:pPr>
      <w:r>
        <w:t>3  Déport substitution et situations particulières de représentation  •  2 h</w:t>
      </w:r>
    </w:p>
    <w:p>
      <w:pPr>
        <w:spacing w:after="60"/>
      </w:pPr>
      <w:r>
        <w:t>4  Cadeaux invitations et traçabilité des décisions  •  1,5 h</w:t>
      </w:r>
    </w:p>
    <w:p>
      <w:pPr>
        <w:spacing w:after="100"/>
      </w:pPr>
      <w:r>
        <w:rPr>
          <w:b/>
        </w:rPr>
        <w:t xml:space="preserve">Atelier et livrable  </w:t>
      </w:r>
      <w:r>
        <w:t>Analyser quatre situations de double mandat puis rédiger une procédure de déport. Le livrable est discuté puis corrigé avec la grille commune. Le temps de production est inclus dans les séquences 3 et 4.</w:t>
      </w:r>
    </w:p>
    <w:p>
      <w:pPr>
        <w:spacing w:after="100"/>
      </w:pPr>
      <w:r>
        <w:rPr>
          <w:b/>
        </w:rPr>
        <w:t xml:space="preserve">Articulation et vigilance  </w:t>
      </w:r>
      <w:r>
        <w:t>Scission de P3. La représentation de la commune au sein d’une autre personne morale ne suffit pas à caractériser automatiquement un intérêt. CGCT L1111 6 actualisé et exceptions à vérifier. P31 traite le dispositif AFA.</w:t>
      </w:r>
    </w:p>
    <w:p>
      <w:pPr>
        <w:pStyle w:val="Heading2"/>
        <w:pageBreakBefore/>
      </w:pPr>
      <w:r>
        <w:t>P4  Connaître le statut et les droits de l’élu intercommunal</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Construire une feuille de démarches adaptée à un conseiller et à un vice président.</w:t>
      </w:r>
    </w:p>
    <w:p>
      <w:pPr>
        <w:spacing w:after="60"/>
      </w:pPr>
      <w:r>
        <w:t>1  Indemnités frais protection sociale et conditions selon les fonctions  •  1,5 h</w:t>
      </w:r>
    </w:p>
    <w:p>
      <w:pPr>
        <w:spacing w:after="60"/>
      </w:pPr>
      <w:r>
        <w:t>2  Conciliation mandat emploi absences et congé de formation  •  2 h</w:t>
      </w:r>
    </w:p>
    <w:p>
      <w:pPr>
        <w:spacing w:after="60"/>
      </w:pPr>
      <w:r>
        <w:t>3  Budget formation DIFE et démarches  •  2 h</w:t>
      </w:r>
    </w:p>
    <w:p>
      <w:pPr>
        <w:spacing w:after="60"/>
      </w:pPr>
      <w:r>
        <w:t>4  Protection prévention de la surcharge et droits à la sortie  •  1,5 h</w:t>
      </w:r>
    </w:p>
    <w:p>
      <w:pPr>
        <w:spacing w:after="100"/>
      </w:pPr>
      <w:r>
        <w:rPr>
          <w:b/>
        </w:rPr>
        <w:t xml:space="preserve">Atelier et livrable  </w:t>
      </w:r>
      <w:r>
        <w:t>Construire une feuille de démarches adaptée à un conseiller et à un vice président. Le livrable est discuté puis corrigé avec la grille commune. Le temps de production est inclus dans les séquences 3 et 4.</w:t>
      </w:r>
    </w:p>
    <w:p>
      <w:pPr>
        <w:spacing w:after="100"/>
      </w:pPr>
      <w:r>
        <w:rPr>
          <w:b/>
        </w:rPr>
        <w:t xml:space="preserve">Articulation et vigilance  </w:t>
      </w:r>
      <w:r>
        <w:t>Le congé de formation de vingt-quatre jours est distingué de la compensation des pertes de revenu plafonnée sur vingt et un jours selon le régime applicable. Les propositions associatives sont séparées du droit en vigueur.</w:t>
      </w:r>
    </w:p>
    <w:p>
      <w:pPr>
        <w:pStyle w:val="Heading2"/>
      </w:pPr>
      <w:r>
        <w:t>P5  Piloter le budget et la prospective de l’EPCI</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Construire une prospective avec deux scénarios et un PPI hiérarchisé.</w:t>
      </w:r>
    </w:p>
    <w:p>
      <w:pPr>
        <w:spacing w:after="60"/>
      </w:pPr>
      <w:r>
        <w:t>1  Budget principal budgets annexes M57 M4 et CFU  •  3 h</w:t>
      </w:r>
    </w:p>
    <w:p>
      <w:pPr>
        <w:spacing w:after="60"/>
      </w:pPr>
      <w:r>
        <w:t>2  Recettes dépenses épargne trésorerie et prospective  •  4 h</w:t>
      </w:r>
    </w:p>
    <w:p>
      <w:pPr>
        <w:spacing w:after="60"/>
      </w:pPr>
      <w:r>
        <w:t>3  PPI coûts de fonctionnement et scénarios  •  4 h</w:t>
      </w:r>
    </w:p>
    <w:p>
      <w:pPr>
        <w:spacing w:after="60"/>
      </w:pPr>
      <w:r>
        <w:t>4  Débat budgétaire décision et suivi des engagements  •  3 h</w:t>
      </w:r>
    </w:p>
    <w:p>
      <w:pPr>
        <w:spacing w:after="100"/>
      </w:pPr>
      <w:r>
        <w:rPr>
          <w:b/>
        </w:rPr>
        <w:t xml:space="preserve">Atelier et livrable  </w:t>
      </w:r>
      <w:r>
        <w:t>Construire une prospective avec deux scénarios et un PPI hiérarchisé. Le livrable est discuté puis corrigé avec la grille commune. Le temps de production est inclus dans les séquences 3 et 4.</w:t>
      </w:r>
    </w:p>
    <w:p>
      <w:pPr>
        <w:spacing w:after="100"/>
      </w:pPr>
      <w:r>
        <w:rPr>
          <w:b/>
        </w:rPr>
        <w:t xml:space="preserve">Articulation et vigilance  </w:t>
      </w:r>
      <w:r>
        <w:t>P6 approfondit les flux avec les communes P27 les financements et P32 la dette. Le FCTVA est distingué d’une subvention de projet. CFU à partir des comptes 2026.</w:t>
      </w:r>
    </w:p>
    <w:p>
      <w:pPr>
        <w:pStyle w:val="Heading2"/>
        <w:pageBreakBefore/>
      </w:pPr>
      <w:r>
        <w:t>P6  Piloter la fiscalité et les relations financières avec les communes</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Simuler un transfert de compétence et comparer deux répartitions financières.</w:t>
      </w:r>
    </w:p>
    <w:p>
      <w:pPr>
        <w:spacing w:after="60"/>
      </w:pPr>
      <w:r>
        <w:t>1  Régime fiscal ressources et compétences  •  3 h</w:t>
      </w:r>
    </w:p>
    <w:p>
      <w:pPr>
        <w:spacing w:after="60"/>
      </w:pPr>
      <w:r>
        <w:t>2  Transferts de charges CLECT et attributions de compensation  •  4 h</w:t>
      </w:r>
    </w:p>
    <w:p>
      <w:pPr>
        <w:spacing w:after="60"/>
      </w:pPr>
      <w:r>
        <w:t>3  DSC FPIC fonds de concours et pacte financier  •  4 h</w:t>
      </w:r>
    </w:p>
    <w:p>
      <w:pPr>
        <w:spacing w:after="60"/>
      </w:pPr>
      <w:r>
        <w:t>4  Simulation équité soutenabilité et procédure de décision  •  3 h</w:t>
      </w:r>
    </w:p>
    <w:p>
      <w:pPr>
        <w:spacing w:after="100"/>
      </w:pPr>
      <w:r>
        <w:rPr>
          <w:b/>
        </w:rPr>
        <w:t xml:space="preserve">Atelier et livrable  </w:t>
      </w:r>
      <w:r>
        <w:t>Simuler un transfert de compétence et comparer deux répartitions financières. Le livrable est discuté puis corrigé avec la grille commune. Le temps de production est inclus dans les séquences 3 et 4.</w:t>
      </w:r>
    </w:p>
    <w:p>
      <w:pPr>
        <w:spacing w:after="100"/>
      </w:pPr>
      <w:r>
        <w:rPr>
          <w:b/>
        </w:rPr>
        <w:t xml:space="preserve">Articulation et vigilance  </w:t>
      </w:r>
      <w:r>
        <w:t>Durée portée de 7 à 14 h pour intégrer la CLECT les procédures et la simulation. Distinguer les outils applicables aux différents régimes fiscaux sans promettre un gain de ressources.</w:t>
      </w:r>
    </w:p>
    <w:p>
      <w:pPr>
        <w:pStyle w:val="Heading2"/>
      </w:pPr>
      <w:r>
        <w:t>P7  Sécuriser les achats et construire une commande publique durable</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Construire une grille d’analyse et des clauses liées à un marché fictif.</w:t>
      </w:r>
    </w:p>
    <w:p>
      <w:pPr>
        <w:spacing w:after="60"/>
      </w:pPr>
      <w:r>
        <w:t>1  Besoin estimation allotissement et stratégie d’achat  •  3 h</w:t>
      </w:r>
    </w:p>
    <w:p>
      <w:pPr>
        <w:spacing w:after="60"/>
      </w:pPr>
      <w:r>
        <w:t>2  Procédures publicité critères et intégrité  •  4 h</w:t>
      </w:r>
    </w:p>
    <w:p>
      <w:pPr>
        <w:spacing w:after="60"/>
      </w:pPr>
      <w:r>
        <w:t>3  Clauses environnementales et sociales SPASER selon le champ  •  4 h</w:t>
      </w:r>
    </w:p>
    <w:p>
      <w:pPr>
        <w:spacing w:after="60"/>
      </w:pPr>
      <w:r>
        <w:t>4  Exécution modifications paiement et contrôle  •  3 h</w:t>
      </w:r>
    </w:p>
    <w:p>
      <w:pPr>
        <w:spacing w:after="100"/>
      </w:pPr>
      <w:r>
        <w:rPr>
          <w:b/>
        </w:rPr>
        <w:t xml:space="preserve">Atelier et livrable  </w:t>
      </w:r>
      <w:r>
        <w:t>Construire une grille d’analyse et des clauses liées à un marché fictif. Le livrable est discuté puis corrigé avec la grille commune. Le temps de production est inclus dans les séquences 3 et 4.</w:t>
      </w:r>
    </w:p>
    <w:p>
      <w:pPr>
        <w:spacing w:after="100"/>
      </w:pPr>
      <w:r>
        <w:rPr>
          <w:b/>
        </w:rPr>
        <w:t xml:space="preserve">Articulation et vigilance  </w:t>
      </w:r>
      <w:r>
        <w:t>P8 couvre les EPL et P33 les concessions et modes de gestion. Les clauses ne favorisent pas illégalement une origine géographique. Les seuils et échéances réglementaires sont actualisés avant session.</w:t>
      </w:r>
    </w:p>
    <w:p>
      <w:pPr>
        <w:pStyle w:val="Heading2"/>
        <w:pageBreakBefore/>
      </w:pPr>
      <w:r>
        <w:t>P8  Choisir et contrôler une entreprise publique locale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Comparer trois portages pour une opération intercommunale et justifier le choix.</w:t>
      </w:r>
    </w:p>
    <w:p>
      <w:pPr>
        <w:spacing w:after="60"/>
      </w:pPr>
      <w:r>
        <w:t>1  SEM SPL SEMOP et compétence de l’EPCI  •  1,5 h</w:t>
      </w:r>
    </w:p>
    <w:p>
      <w:pPr>
        <w:spacing w:after="60"/>
      </w:pPr>
      <w:r>
        <w:t>2  Actionnariat gouvernance et contrats  •  2 h</w:t>
      </w:r>
    </w:p>
    <w:p>
      <w:pPr>
        <w:spacing w:after="60"/>
      </w:pPr>
      <w:r>
        <w:t>3  Risques financiers probité aides d’État et contrôle  •  2 h</w:t>
      </w:r>
    </w:p>
    <w:p>
      <w:pPr>
        <w:spacing w:after="60"/>
      </w:pPr>
      <w:r>
        <w:t>4  Comparaison avec régie marché ou concession  •  1,5 h</w:t>
      </w:r>
    </w:p>
    <w:p>
      <w:pPr>
        <w:spacing w:after="100"/>
      </w:pPr>
      <w:r>
        <w:rPr>
          <w:b/>
        </w:rPr>
        <w:t xml:space="preserve">Atelier et livrable  </w:t>
      </w:r>
      <w:r>
        <w:t>Comparer trois portages pour une opération intercommunale et justifier le choix. Le livrable est discuté puis corrigé avec la grille commune. Le temps de production est inclus dans les séquences 3 et 4.</w:t>
      </w:r>
    </w:p>
    <w:p>
      <w:pPr>
        <w:spacing w:after="100"/>
      </w:pPr>
      <w:r>
        <w:rPr>
          <w:b/>
        </w:rPr>
        <w:t xml:space="preserve">Articulation et vigilance  </w:t>
      </w:r>
      <w:r>
        <w:t>P33 traite les modes de gestion d’un service. La création d’une EPL n est pas présumée opportune pour toute politique.</w:t>
      </w:r>
    </w:p>
    <w:p>
      <w:pPr>
        <w:pStyle w:val="Heading2"/>
      </w:pPr>
      <w:r>
        <w:t>P9  Piloter le PLUi le SCoT et la sobriété foncière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Comparer deux scénarios et préparer une décision argumentée de planification.</w:t>
      </w:r>
    </w:p>
    <w:p>
      <w:pPr>
        <w:spacing w:after="60"/>
      </w:pPr>
      <w:r>
        <w:t>1  Compétences et rôle réel du porteur du SCoT  •  3 h</w:t>
      </w:r>
    </w:p>
    <w:p>
      <w:pPr>
        <w:spacing w:after="60"/>
      </w:pPr>
      <w:r>
        <w:t>2  Diagnostic foncier besoins et trajectoires applicables  •  4 h</w:t>
      </w:r>
    </w:p>
    <w:p>
      <w:pPr>
        <w:spacing w:after="60"/>
      </w:pPr>
      <w:r>
        <w:t>3  Élaboration évolution OAP et association des communes  •  4 h</w:t>
      </w:r>
    </w:p>
    <w:p>
      <w:pPr>
        <w:spacing w:after="60"/>
      </w:pPr>
      <w:r>
        <w:t>4  Arbitrage contentieux et suivi de la consommation foncière  •  3 h</w:t>
      </w:r>
    </w:p>
    <w:p>
      <w:pPr>
        <w:spacing w:after="100"/>
      </w:pPr>
      <w:r>
        <w:rPr>
          <w:b/>
        </w:rPr>
        <w:t xml:space="preserve">Atelier et livrable  </w:t>
      </w:r>
      <w:r>
        <w:t>Comparer deux scénarios et préparer une décision argumentée de planification. Le livrable est discuté puis corrigé avec la grille commune. Le temps de production est inclus dans les séquences 3 et 4.</w:t>
      </w:r>
    </w:p>
    <w:p>
      <w:pPr>
        <w:spacing w:after="100"/>
      </w:pPr>
      <w:r>
        <w:rPr>
          <w:b/>
        </w:rPr>
        <w:t xml:space="preserve">Articulation et vigilance  </w:t>
      </w:r>
      <w:r>
        <w:t>P11A traite une opération P11B une acquisition. Le SCoT peut relever d’un autre établissement. La garantie rurale et les règles ZAN sont vérifiées dans leur version applicable.</w:t>
      </w:r>
    </w:p>
    <w:p>
      <w:pPr>
        <w:pStyle w:val="Heading2"/>
        <w:pageBreakBefore/>
      </w:pPr>
      <w:r>
        <w:t>P10  Gouverner la politique intercommunale de l’habitat</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une carte des compétences et une feuille de route habitat avec partenaires.</w:t>
      </w:r>
    </w:p>
    <w:p>
      <w:pPr>
        <w:spacing w:after="60"/>
      </w:pPr>
      <w:r>
        <w:t>1  PLH besoins gouvernance et compétences  •  3 h</w:t>
      </w:r>
    </w:p>
    <w:p>
      <w:pPr>
        <w:spacing w:after="60"/>
      </w:pPr>
      <w:r>
        <w:t>2  Aides à la pierre logement social attributions et obligations SRU  •  4 h</w:t>
      </w:r>
    </w:p>
    <w:p>
      <w:pPr>
        <w:spacing w:after="60"/>
      </w:pPr>
      <w:r>
        <w:t>3  Vacance habitat indigne rénovation et accueil des gens du voyage  •  4 h</w:t>
      </w:r>
    </w:p>
    <w:p>
      <w:pPr>
        <w:spacing w:after="60"/>
      </w:pPr>
      <w:r>
        <w:t>4  Statut AOH conditions de reconnaissance et limites des délégations  •  3 h</w:t>
      </w:r>
    </w:p>
    <w:p>
      <w:pPr>
        <w:spacing w:after="100"/>
      </w:pPr>
      <w:r>
        <w:rPr>
          <w:b/>
        </w:rPr>
        <w:t xml:space="preserve">Atelier et livrable  </w:t>
      </w:r>
      <w:r>
        <w:t>Construire une carte des compétences et une feuille de route habitat avec partenaires. Le livrable est discuté puis corrigé avec la grille commune. Le temps de production est inclus dans les séquences 3 et 4.</w:t>
      </w:r>
    </w:p>
    <w:p>
      <w:pPr>
        <w:spacing w:after="100"/>
      </w:pPr>
      <w:r>
        <w:rPr>
          <w:b/>
        </w:rPr>
        <w:t xml:space="preserve">Articulation et vigilance  </w:t>
      </w:r>
      <w:r>
        <w:t>L AOH est un statut légal sous conditions et non une compétence acquise par tous les EPCI. MaPrimeRénov n est pas présumée déléguée. Éco Énergie Tertiaire relève du patrimoine tertiaire et non du logement en général.</w:t>
      </w:r>
    </w:p>
    <w:p>
      <w:pPr>
        <w:pStyle w:val="Heading2"/>
      </w:pPr>
      <w:r>
        <w:t>P11A  Monter une opération d’aménagement intercommunale</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Comparer deux montages pour une friche et préparer une note de décision.</w:t>
      </w:r>
    </w:p>
    <w:p>
      <w:pPr>
        <w:spacing w:after="60"/>
      </w:pPr>
      <w:r>
        <w:t>1  Compétence besoin et faisabilité  •  1,5 h</w:t>
      </w:r>
    </w:p>
    <w:p>
      <w:pPr>
        <w:spacing w:after="60"/>
      </w:pPr>
      <w:r>
        <w:t>2  ZAC lotissement PUP et qualification des outils  •  2 h</w:t>
      </w:r>
    </w:p>
    <w:p>
      <w:pPr>
        <w:spacing w:after="60"/>
      </w:pPr>
      <w:r>
        <w:t>3  Foncier friches partenaires et coût global  •  2 h</w:t>
      </w:r>
    </w:p>
    <w:p>
      <w:pPr>
        <w:spacing w:after="60"/>
      </w:pPr>
      <w:r>
        <w:t>4  Phasage risques gouvernance et choix de montage  •  1,5 h</w:t>
      </w:r>
    </w:p>
    <w:p>
      <w:pPr>
        <w:spacing w:after="100"/>
      </w:pPr>
      <w:r>
        <w:rPr>
          <w:b/>
        </w:rPr>
        <w:t xml:space="preserve">Atelier et livrable  </w:t>
      </w:r>
      <w:r>
        <w:t>Comparer deux montages pour une friche et préparer une note de décision. Le livrable est discuté puis corrigé avec la grille commune. Le temps de production est inclus dans les séquences 3 et 4.</w:t>
      </w:r>
    </w:p>
    <w:p>
      <w:pPr>
        <w:spacing w:after="100"/>
      </w:pPr>
      <w:r>
        <w:rPr>
          <w:b/>
        </w:rPr>
        <w:t xml:space="preserve">Articulation et vigilance  </w:t>
      </w:r>
      <w:r>
        <w:t>Scission de P11. P11B traite la préemption P30 la maîtrise d’ouvrage et P27 les financements. L accès aux programmes territoriaux est vérifié selon leurs conditions.</w:t>
      </w:r>
    </w:p>
    <w:p>
      <w:pPr>
        <w:pStyle w:val="Heading2"/>
        <w:pageBreakBefore/>
      </w:pPr>
      <w:r>
        <w:t>P11B  Sécuriser la maîtrise foncière et la préemption intercommunale</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Construire la chronologie d’une acquisition et une décision de préemption motivée.</w:t>
      </w:r>
    </w:p>
    <w:p>
      <w:pPr>
        <w:spacing w:after="60"/>
      </w:pPr>
      <w:r>
        <w:t>1  Titulaire du droit transferts et délégations  •  1,5 h</w:t>
      </w:r>
    </w:p>
    <w:p>
      <w:pPr>
        <w:spacing w:after="60"/>
      </w:pPr>
      <w:r>
        <w:t>2  Projet réel DIA délais et motivation  •  2 h</w:t>
      </w:r>
    </w:p>
    <w:p>
      <w:pPr>
        <w:spacing w:after="60"/>
      </w:pPr>
      <w:r>
        <w:t>3  Prix acquisition et intervention de l’EPF  •  2 h</w:t>
      </w:r>
    </w:p>
    <w:p>
      <w:pPr>
        <w:spacing w:after="60"/>
      </w:pPr>
      <w:r>
        <w:t>4  Traçabilité recours et suites de la décision  •  1,5 h</w:t>
      </w:r>
    </w:p>
    <w:p>
      <w:pPr>
        <w:spacing w:after="100"/>
      </w:pPr>
      <w:r>
        <w:rPr>
          <w:b/>
        </w:rPr>
        <w:t xml:space="preserve">Atelier et livrable  </w:t>
      </w:r>
      <w:r>
        <w:t>Construire la chronologie d’une acquisition et une décision de préemption motivée. Le livrable est discuté puis corrigé avec la grille commune. Le temps de production est inclus dans les séquences 3 et 4.</w:t>
      </w:r>
    </w:p>
    <w:p>
      <w:pPr>
        <w:spacing w:after="100"/>
      </w:pPr>
      <w:r>
        <w:rPr>
          <w:b/>
        </w:rPr>
        <w:t xml:space="preserve">Articulation et vigilance  </w:t>
      </w:r>
      <w:r>
        <w:t>Scission de P11. Préemption urbaine et commerciale sont distinguées. Le transfert du PLU ne vaut pas attribution indifférenciée de tout droit de préemption.</w:t>
      </w:r>
    </w:p>
    <w:p>
      <w:pPr>
        <w:pStyle w:val="Heading2"/>
      </w:pPr>
      <w:r>
        <w:t>P12  Revitaliser les centralités et soutenir l’économie de proximité</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Construire une intervention sur une centralité avec responsabilités et critères de suivi.</w:t>
      </w:r>
    </w:p>
    <w:p>
      <w:pPr>
        <w:spacing w:after="60"/>
      </w:pPr>
      <w:r>
        <w:t>1  Diagnostic commerce habitat services et espaces publics  •  1,5 h</w:t>
      </w:r>
    </w:p>
    <w:p>
      <w:pPr>
        <w:spacing w:after="60"/>
      </w:pPr>
      <w:r>
        <w:t>2  Compétences et coordination commune EPCI région  •  2 h</w:t>
      </w:r>
    </w:p>
    <w:p>
      <w:pPr>
        <w:spacing w:after="60"/>
      </w:pPr>
      <w:r>
        <w:t>3  ORT outils immobiliers et partenariats  •  2 h</w:t>
      </w:r>
    </w:p>
    <w:p>
      <w:pPr>
        <w:spacing w:after="60"/>
      </w:pPr>
      <w:r>
        <w:t>4  Priorités coûts et indicateurs d’effet  •  1,5 h</w:t>
      </w:r>
    </w:p>
    <w:p>
      <w:pPr>
        <w:spacing w:after="100"/>
      </w:pPr>
      <w:r>
        <w:rPr>
          <w:b/>
        </w:rPr>
        <w:t xml:space="preserve">Atelier et livrable  </w:t>
      </w:r>
      <w:r>
        <w:t>Construire une intervention sur une centralité avec responsabilités et critères de suivi. Le livrable est discuté puis corrigé avec la grille commune. Le temps de production est inclus dans les séquences 3 et 4.</w:t>
      </w:r>
    </w:p>
    <w:p>
      <w:pPr>
        <w:spacing w:after="100"/>
      </w:pPr>
      <w:r>
        <w:rPr>
          <w:b/>
        </w:rPr>
        <w:t xml:space="preserve">Articulation et vigilance  </w:t>
      </w:r>
      <w:r>
        <w:t>P17 traite la stratégie économique générale P11B la préemption et P2 le projet de territoire. Les leviers d’un article associatif ne sont pas présentés comme un programme déjà disponible.</w:t>
      </w:r>
    </w:p>
    <w:p>
      <w:pPr>
        <w:pStyle w:val="Heading2"/>
        <w:pageBreakBefore/>
      </w:pPr>
      <w:r>
        <w:t>P13  Piloter le PCAET et la stratégie climatique intercommunale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 portefeuille d’actions climatiques avec indicateurs et responsables.</w:t>
      </w:r>
    </w:p>
    <w:p>
      <w:pPr>
        <w:spacing w:after="60"/>
      </w:pPr>
      <w:r>
        <w:t>1  Champ des obligations diagnostic et articulation des documents  •  3 h</w:t>
      </w:r>
    </w:p>
    <w:p>
      <w:pPr>
        <w:spacing w:after="60"/>
      </w:pPr>
      <w:r>
        <w:t>2  Atténuation adaptation et ressources territoriales  •  4 h</w:t>
      </w:r>
    </w:p>
    <w:p>
      <w:pPr>
        <w:spacing w:after="60"/>
      </w:pPr>
      <w:r>
        <w:t>3  Choix des actions gouvernance et coûts  •  4 h</w:t>
      </w:r>
    </w:p>
    <w:p>
      <w:pPr>
        <w:spacing w:after="60"/>
      </w:pPr>
      <w:r>
        <w:t>4  Suivi évaluation et information des habitants  •  3 h</w:t>
      </w:r>
    </w:p>
    <w:p>
      <w:pPr>
        <w:spacing w:after="100"/>
      </w:pPr>
      <w:r>
        <w:rPr>
          <w:b/>
        </w:rPr>
        <w:t xml:space="preserve">Atelier et livrable  </w:t>
      </w:r>
      <w:r>
        <w:t>Construire un portefeuille d’actions climatiques avec indicateurs et responsables. Le livrable est discuté puis corrigé avec la grille commune. Le temps de production est inclus dans les séquences 3 et 4.</w:t>
      </w:r>
    </w:p>
    <w:p>
      <w:pPr>
        <w:spacing w:after="100"/>
      </w:pPr>
      <w:r>
        <w:rPr>
          <w:b/>
        </w:rPr>
        <w:t xml:space="preserve">Articulation et vigilance  </w:t>
      </w:r>
      <w:r>
        <w:t>P34 approfondit les projets énergétiques et le patrimoine. PCAET obligatoire pour les EPCI à fiscalité propre de plus de vingt mille habitants selon le cadre applicable. Annexe environnementale et obligations budgétaires vérifiées séparément.</w:t>
      </w:r>
    </w:p>
    <w:p>
      <w:pPr>
        <w:pStyle w:val="Heading2"/>
      </w:pPr>
      <w:r>
        <w:t>P14A  Organiser l’eau et l’assainissement selon les compétences effectives</w:t>
      </w:r>
    </w:p>
    <w:p>
      <w:pPr>
        <w:spacing w:after="100"/>
      </w:pPr>
      <w:r>
        <w:rPr>
          <w:b/>
        </w:rPr>
        <w:t xml:space="preserve">Durée et public  </w:t>
      </w:r>
      <w:r>
        <w:t>14 h • Domaine 2 • Élus concernés par le sujet. Offre pédagogique rédigée, moyens à confirmer.</w:t>
      </w:r>
    </w:p>
    <w:p>
      <w:pPr>
        <w:spacing w:after="100"/>
      </w:pPr>
      <w:r>
        <w:rPr>
          <w:b/>
        </w:rPr>
        <w:t xml:space="preserve">Objectif évalué  </w:t>
      </w:r>
      <w:r>
        <w:t>Comparer deux organisations de service après cartographie des transferts et des actifs.</w:t>
      </w:r>
    </w:p>
    <w:p>
      <w:pPr>
        <w:spacing w:after="60"/>
      </w:pPr>
      <w:r>
        <w:t>1  Catégorie de l’EPCI transferts et loi du 11 avril 2025  •  3 h</w:t>
      </w:r>
    </w:p>
    <w:p>
      <w:pPr>
        <w:spacing w:after="60"/>
      </w:pPr>
      <w:r>
        <w:t>2  Syndicats délégations et responsabilités  •  4 h</w:t>
      </w:r>
    </w:p>
    <w:p>
      <w:pPr>
        <w:spacing w:after="60"/>
      </w:pPr>
      <w:r>
        <w:t>3  Patrimoine qualité budget M4 tarification et investissements  •  4 h</w:t>
      </w:r>
    </w:p>
    <w:p>
      <w:pPr>
        <w:spacing w:after="60"/>
      </w:pPr>
      <w:r>
        <w:t>4  Modes de gestion continuité et information des usagers  •  3 h</w:t>
      </w:r>
    </w:p>
    <w:p>
      <w:pPr>
        <w:spacing w:after="100"/>
      </w:pPr>
      <w:r>
        <w:rPr>
          <w:b/>
        </w:rPr>
        <w:t xml:space="preserve">Atelier et livrable  </w:t>
      </w:r>
      <w:r>
        <w:t>Comparer deux organisations de service après cartographie des transferts et des actifs. Le livrable est discuté puis corrigé avec la grille commune. Le temps de production est inclus dans les séquences 3 et 4.</w:t>
      </w:r>
    </w:p>
    <w:p>
      <w:pPr>
        <w:spacing w:after="100"/>
      </w:pPr>
      <w:r>
        <w:rPr>
          <w:b/>
        </w:rPr>
        <w:t xml:space="preserve">Articulation et vigilance  </w:t>
      </w:r>
      <w:r>
        <w:t>Scission de P14. Le transfert n est plus uniformément obligatoire pour les communautés de communes et les transferts antérieurs ne sont pas présumés réversibles. CA CU et métropoles sont distinguées. P14B traite la GEMAPI.</w:t>
      </w:r>
    </w:p>
    <w:p>
      <w:pPr>
        <w:pStyle w:val="Heading2"/>
        <w:pageBreakBefore/>
      </w:pPr>
      <w:r>
        <w:t>P14B  Gouverner la GEMAPI et prévenir les inondations</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Construire une carte des responsabilités et prioriser un programme de prévention.</w:t>
      </w:r>
    </w:p>
    <w:p>
      <w:pPr>
        <w:spacing w:after="60"/>
      </w:pPr>
      <w:r>
        <w:t>1  Contenu de la compétence et acteurs du bassin  •  1,5 h</w:t>
      </w:r>
    </w:p>
    <w:p>
      <w:pPr>
        <w:spacing w:after="60"/>
      </w:pPr>
      <w:r>
        <w:t>2  Transferts délégations syndicats ouvrages et responsabilités  •  2 h</w:t>
      </w:r>
    </w:p>
    <w:p>
      <w:pPr>
        <w:spacing w:after="60"/>
      </w:pPr>
      <w:r>
        <w:t>3  Financement priorités prévention et articulation avec les plans  •  2 h</w:t>
      </w:r>
    </w:p>
    <w:p>
      <w:pPr>
        <w:spacing w:after="60"/>
      </w:pPr>
      <w:r>
        <w:t>4  Suivi entretien risques et adaptation  •  1,5 h</w:t>
      </w:r>
    </w:p>
    <w:p>
      <w:pPr>
        <w:spacing w:after="100"/>
      </w:pPr>
      <w:r>
        <w:rPr>
          <w:b/>
        </w:rPr>
        <w:t xml:space="preserve">Atelier et livrable  </w:t>
      </w:r>
      <w:r>
        <w:t>Construire une carte des responsabilités et prioriser un programme de prévention. Le livrable est discuté puis corrigé avec la grille commune. Le temps de production est inclus dans les séquences 3 et 4.</w:t>
      </w:r>
    </w:p>
    <w:p>
      <w:pPr>
        <w:spacing w:after="100"/>
      </w:pPr>
      <w:r>
        <w:rPr>
          <w:b/>
        </w:rPr>
        <w:t xml:space="preserve">Articulation et vigilance  </w:t>
      </w:r>
      <w:r>
        <w:t>Scission de P14. La GEMAPI ne couvre pas toute la politique de l’eau. Le recul du trait de côte et les PTGE sont examinés selon leurs cadres propres sans transfert automatique de compétence.</w:t>
      </w:r>
    </w:p>
    <w:p>
      <w:pPr>
        <w:pStyle w:val="Heading2"/>
      </w:pPr>
      <w:r>
        <w:t>P15  Piloter le service des déchets et la prévention</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Comparer deux organisations avec coût par usager et effets de prévention.</w:t>
      </w:r>
    </w:p>
    <w:p>
      <w:pPr>
        <w:spacing w:after="60"/>
      </w:pPr>
      <w:r>
        <w:t>1  Collecte traitement transferts et syndicats  •  1,5 h</w:t>
      </w:r>
    </w:p>
    <w:p>
      <w:pPr>
        <w:spacing w:after="60"/>
      </w:pPr>
      <w:r>
        <w:t>2  TEOM REOM incitation et cohérence du financement  •  2 h</w:t>
      </w:r>
    </w:p>
    <w:p>
      <w:pPr>
        <w:spacing w:after="60"/>
      </w:pPr>
      <w:r>
        <w:t>3  Prévention biodéchets REP et économie circulaire  •  2 h</w:t>
      </w:r>
    </w:p>
    <w:p>
      <w:pPr>
        <w:spacing w:after="60"/>
      </w:pPr>
      <w:r>
        <w:t>4  Coûts qualité et indicateurs  •  1,5 h</w:t>
      </w:r>
    </w:p>
    <w:p>
      <w:pPr>
        <w:spacing w:after="100"/>
      </w:pPr>
      <w:r>
        <w:rPr>
          <w:b/>
        </w:rPr>
        <w:t xml:space="preserve">Atelier et livrable  </w:t>
      </w:r>
      <w:r>
        <w:t>Comparer deux organisations avec coût par usager et effets de prévention. Le livrable est discuté puis corrigé avec la grille commune. Le temps de production est inclus dans les séquences 3 et 4.</w:t>
      </w:r>
    </w:p>
    <w:p>
      <w:pPr>
        <w:spacing w:after="100"/>
      </w:pPr>
      <w:r>
        <w:rPr>
          <w:b/>
        </w:rPr>
        <w:t xml:space="preserve">Articulation et vigilance  </w:t>
      </w:r>
      <w:r>
        <w:t>La TEOM est une taxe et la REOM une redevance. Distinguer tarification incitative et principe de financement. Aucun taux national de performance ni économie garantie n est annoncé.</w:t>
      </w:r>
    </w:p>
    <w:p>
      <w:pPr>
        <w:pStyle w:val="Heading2"/>
        <w:pageBreakBefore/>
      </w:pPr>
      <w:r>
        <w:t>P16  Organiser les mobilités à l’échelle intercommunale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Comparer trois réponses à un besoin de déplacement avec acteurs budget et indicateurs.</w:t>
      </w:r>
    </w:p>
    <w:p>
      <w:pPr>
        <w:spacing w:after="60"/>
      </w:pPr>
      <w:r>
        <w:t>1  Statut AOM compétence effective et rôle de la région  •  3 h</w:t>
      </w:r>
    </w:p>
    <w:p>
      <w:pPr>
        <w:spacing w:after="60"/>
      </w:pPr>
      <w:r>
        <w:t>2  Diagnostic bassin de mobilité et coordination  •  4 h</w:t>
      </w:r>
    </w:p>
    <w:p>
      <w:pPr>
        <w:spacing w:after="60"/>
      </w:pPr>
      <w:r>
        <w:t>3  Services actifs partagés collectifs et mobilité solidaire  •  4 h</w:t>
      </w:r>
    </w:p>
    <w:p>
      <w:pPr>
        <w:spacing w:after="60"/>
      </w:pPr>
      <w:r>
        <w:t>4  Financement versement mobilité accessibilité et évaluation  •  3 h</w:t>
      </w:r>
    </w:p>
    <w:p>
      <w:pPr>
        <w:spacing w:after="100"/>
      </w:pPr>
      <w:r>
        <w:rPr>
          <w:b/>
        </w:rPr>
        <w:t xml:space="preserve">Atelier et livrable  </w:t>
      </w:r>
      <w:r>
        <w:t>Comparer trois réponses à un besoin de déplacement avec acteurs budget et indicateurs. Le livrable est discuté puis corrigé avec la grille commune. Le temps de production est inclus dans les séquences 3 et 4.</w:t>
      </w:r>
    </w:p>
    <w:p>
      <w:pPr>
        <w:spacing w:after="100"/>
      </w:pPr>
      <w:r>
        <w:rPr>
          <w:b/>
        </w:rPr>
        <w:t xml:space="preserve">Articulation et vigilance  </w:t>
      </w:r>
      <w:r>
        <w:t>Un EPCI n est pas présumé AOM dans tous les cas. IRVE voirie stationnement et éventuelles ZFE sont examinés selon les compétences et le droit en vigueur. P14B et P22B couvrent des risques distincts.</w:t>
      </w:r>
    </w:p>
    <w:p>
      <w:pPr>
        <w:pStyle w:val="Heading2"/>
      </w:pPr>
      <w:r>
        <w:t>P17  Piloter le développement économique intercommunal</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 projet économique juridiquement fondé et une grille de suivi.</w:t>
      </w:r>
    </w:p>
    <w:p>
      <w:pPr>
        <w:spacing w:after="60"/>
      </w:pPr>
      <w:r>
        <w:t>1  Compétences région EPCI et articulation avec le SRDEII  •  3 h</w:t>
      </w:r>
    </w:p>
    <w:p>
      <w:pPr>
        <w:spacing w:after="60"/>
      </w:pPr>
      <w:r>
        <w:t>2  Zones d’activité immobilier d’entreprise et foncier  •  4 h</w:t>
      </w:r>
    </w:p>
    <w:p>
      <w:pPr>
        <w:spacing w:after="60"/>
      </w:pPr>
      <w:r>
        <w:t>3  Aides aux entreprises règles européennes et conventions  •  4 h</w:t>
      </w:r>
    </w:p>
    <w:p>
      <w:pPr>
        <w:spacing w:after="60"/>
      </w:pPr>
      <w:r>
        <w:t>4  Stratégie emploi ESS coopération et évaluation  •  3 h</w:t>
      </w:r>
    </w:p>
    <w:p>
      <w:pPr>
        <w:spacing w:after="100"/>
      </w:pPr>
      <w:r>
        <w:rPr>
          <w:b/>
        </w:rPr>
        <w:t xml:space="preserve">Atelier et livrable  </w:t>
      </w:r>
      <w:r>
        <w:t>Construire un projet économique juridiquement fondé et une grille de suivi. Le livrable est discuté puis corrigé avec la grille commune. Le temps de production est inclus dans les séquences 3 et 4.</w:t>
      </w:r>
    </w:p>
    <w:p>
      <w:pPr>
        <w:spacing w:after="100"/>
      </w:pPr>
      <w:r>
        <w:rPr>
          <w:b/>
        </w:rPr>
        <w:t xml:space="preserve">Articulation et vigilance  </w:t>
      </w:r>
      <w:r>
        <w:t>P12 traite les centralités P19 l’insertion. Aucun schéma intercommunal ne remplace le SRDEII régional. PAT et circuits courts sont mobilisés selon la compétence et le projet retenus.</w:t>
      </w:r>
    </w:p>
    <w:p>
      <w:pPr>
        <w:pStyle w:val="Heading2"/>
        <w:pageBreakBefore/>
      </w:pPr>
      <w:r>
        <w:t>P18A  Piloter la politique touristique intercommunale</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Comparer deux organisations touristiques et justifier un plan d’action.</w:t>
      </w:r>
    </w:p>
    <w:p>
      <w:pPr>
        <w:spacing w:after="60"/>
      </w:pPr>
      <w:r>
        <w:t>1  Promotion du tourisme offices et compétences particulières  •  1,5 h</w:t>
      </w:r>
    </w:p>
    <w:p>
      <w:pPr>
        <w:spacing w:after="60"/>
      </w:pPr>
      <w:r>
        <w:t>2  Diagnostic offre acteurs et besoins  •  2 h</w:t>
      </w:r>
    </w:p>
    <w:p>
      <w:pPr>
        <w:spacing w:after="60"/>
      </w:pPr>
      <w:r>
        <w:t>3  Taxe de séjour gouvernance et modèle économique  •  2 h</w:t>
      </w:r>
    </w:p>
    <w:p>
      <w:pPr>
        <w:spacing w:after="60"/>
      </w:pPr>
      <w:r>
        <w:t>4  Coopération attractivité durable et suivi  •  1,5 h</w:t>
      </w:r>
    </w:p>
    <w:p>
      <w:pPr>
        <w:spacing w:after="100"/>
      </w:pPr>
      <w:r>
        <w:rPr>
          <w:b/>
        </w:rPr>
        <w:t xml:space="preserve">Atelier et livrable  </w:t>
      </w:r>
      <w:r>
        <w:t>Comparer deux organisations touristiques et justifier un plan d’action. Le livrable est discuté puis corrigé avec la grille commune. Le temps de production est inclus dans les séquences 3 et 4.</w:t>
      </w:r>
    </w:p>
    <w:p>
      <w:pPr>
        <w:spacing w:after="100"/>
      </w:pPr>
      <w:r>
        <w:rPr>
          <w:b/>
        </w:rPr>
        <w:t xml:space="preserve">Articulation et vigilance  </w:t>
      </w:r>
      <w:r>
        <w:t>Scission de P18. Distinguer promotion du tourisme et animation touristique. Les exceptions et restitutions possibles sont vérifiées selon la catégorie d’EPCI.</w:t>
      </w:r>
    </w:p>
    <w:p>
      <w:pPr>
        <w:pStyle w:val="Heading2"/>
      </w:pPr>
      <w:r>
        <w:t>P18B  Organiser les équipements culturels sportifs et les projets partagés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Comparer deux organisations d’équipement avec objectifs accessibilité et coût global.</w:t>
      </w:r>
    </w:p>
    <w:p>
      <w:pPr>
        <w:spacing w:after="60"/>
      </w:pPr>
      <w:r>
        <w:t>1  Compétences transférées et intérêt communautaire  •  1,5 h</w:t>
      </w:r>
    </w:p>
    <w:p>
      <w:pPr>
        <w:spacing w:after="60"/>
      </w:pPr>
      <w:r>
        <w:t>2  Accès programmation gestion et coopération communale  •  2 h</w:t>
      </w:r>
    </w:p>
    <w:p>
      <w:pPr>
        <w:spacing w:after="60"/>
      </w:pPr>
      <w:r>
        <w:t>3  Subventions conventions coûts et risques  •  2 h</w:t>
      </w:r>
    </w:p>
    <w:p>
      <w:pPr>
        <w:spacing w:after="60"/>
      </w:pPr>
      <w:r>
        <w:t>4  Qualité des services publics et évaluation  •  1,5 h</w:t>
      </w:r>
    </w:p>
    <w:p>
      <w:pPr>
        <w:spacing w:after="100"/>
      </w:pPr>
      <w:r>
        <w:rPr>
          <w:b/>
        </w:rPr>
        <w:t xml:space="preserve">Atelier et livrable  </w:t>
      </w:r>
      <w:r>
        <w:t>Comparer deux organisations d’équipement avec objectifs accessibilité et coût global. Le livrable est discuté puis corrigé avec la grille commune. Le temps de production est inclus dans les séquences 3 et 4.</w:t>
      </w:r>
    </w:p>
    <w:p>
      <w:pPr>
        <w:spacing w:after="100"/>
      </w:pPr>
      <w:r>
        <w:rPr>
          <w:b/>
        </w:rPr>
        <w:t xml:space="preserve">Articulation et vigilance  </w:t>
      </w:r>
      <w:r>
        <w:t>Scission de P18. Le cas choisit un équipement culturel ou sportif sans prétendre traiter tous les métiers en une journée. Aucun effet des JOP 2024 n est tenu pour acquis.</w:t>
      </w:r>
    </w:p>
    <w:p>
      <w:pPr>
        <w:pStyle w:val="Heading2"/>
        <w:pageBreakBefore/>
      </w:pPr>
      <w:r>
        <w:t>P19  Contribuer à l’emploi et à l’insertion territoriale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une coopération avec acteurs compétents et critères d’effet sur les parcours.</w:t>
      </w:r>
    </w:p>
    <w:p>
      <w:pPr>
        <w:spacing w:after="60"/>
      </w:pPr>
      <w:r>
        <w:t>1  Compétences effectives de l’EPCI de l’État de la région et du département  •  1,5 h</w:t>
      </w:r>
    </w:p>
    <w:p>
      <w:pPr>
        <w:spacing w:after="60"/>
      </w:pPr>
      <w:r>
        <w:t>2  France Travail missions locales et partenaires  •  2 h</w:t>
      </w:r>
    </w:p>
    <w:p>
      <w:pPr>
        <w:spacing w:after="60"/>
      </w:pPr>
      <w:r>
        <w:t>3  IAE clauses d’insertion et accès aux parcours  •  2 h</w:t>
      </w:r>
    </w:p>
    <w:p>
      <w:pPr>
        <w:spacing w:after="60"/>
      </w:pPr>
      <w:r>
        <w:t>4  Gouvernance financement et indicateurs  •  1,5 h</w:t>
      </w:r>
    </w:p>
    <w:p>
      <w:pPr>
        <w:spacing w:after="100"/>
      </w:pPr>
      <w:r>
        <w:rPr>
          <w:b/>
        </w:rPr>
        <w:t xml:space="preserve">Atelier et livrable  </w:t>
      </w:r>
      <w:r>
        <w:t>Construire une coopération avec acteurs compétents et critères d’effet sur les parcours. Le livrable est discuté puis corrigé avec la grille commune. Le temps de production est inclus dans les séquences 3 et 4.</w:t>
      </w:r>
    </w:p>
    <w:p>
      <w:pPr>
        <w:spacing w:after="100"/>
      </w:pPr>
      <w:r>
        <w:rPr>
          <w:b/>
        </w:rPr>
        <w:t xml:space="preserve">Articulation et vigilance  </w:t>
      </w:r>
      <w:r>
        <w:t>Aucune compétence générale et obligatoire emploi insertion de tout EPCI n est affirmée. Formation professionnelle apprentissage et RSA conservent leurs cadres propres.</w:t>
      </w:r>
    </w:p>
    <w:p>
      <w:pPr>
        <w:pStyle w:val="Heading2"/>
      </w:pPr>
      <w:r>
        <w:t>P20A  Organiser la petite enfance à l’échelle intercommunale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Établir une matrice des missions transférées et une feuille de route d’accueil.</w:t>
      </w:r>
    </w:p>
    <w:p>
      <w:pPr>
        <w:spacing w:after="60"/>
      </w:pPr>
      <w:r>
        <w:t>1  Autorité organisatrice communale et compétences transférées  •  1,5 h</w:t>
      </w:r>
    </w:p>
    <w:p>
      <w:pPr>
        <w:spacing w:after="60"/>
      </w:pPr>
      <w:r>
        <w:t>2  Besoins modes d’accueil RPE et partenaires  •  2 h</w:t>
      </w:r>
    </w:p>
    <w:p>
      <w:pPr>
        <w:spacing w:after="60"/>
      </w:pPr>
      <w:r>
        <w:t>3  CTG coopération CAF et modèle économique  •  2 h</w:t>
      </w:r>
    </w:p>
    <w:p>
      <w:pPr>
        <w:spacing w:after="60"/>
      </w:pPr>
      <w:r>
        <w:t>4  Qualité accessibilité et suivi  •  1,5 h</w:t>
      </w:r>
    </w:p>
    <w:p>
      <w:pPr>
        <w:spacing w:after="100"/>
      </w:pPr>
      <w:r>
        <w:rPr>
          <w:b/>
        </w:rPr>
        <w:t xml:space="preserve">Atelier et livrable  </w:t>
      </w:r>
      <w:r>
        <w:t>Établir une matrice des missions transférées et une feuille de route d’accueil. Le livrable est discuté puis corrigé avec la grille commune. Le temps de production est inclus dans les séquences 3 et 4.</w:t>
      </w:r>
    </w:p>
    <w:p>
      <w:pPr>
        <w:spacing w:after="100"/>
      </w:pPr>
      <w:r>
        <w:rPr>
          <w:b/>
        </w:rPr>
        <w:t xml:space="preserve">Articulation et vigilance  </w:t>
      </w:r>
      <w:r>
        <w:t>Scission de P20. La compétence intercommunale ne découle pas de la seule signature d’une CTG. Obligations selon les seuils et transferts à vérifier.</w:t>
      </w:r>
    </w:p>
    <w:p>
      <w:pPr>
        <w:pStyle w:val="Heading2"/>
        <w:pageBreakBefore/>
      </w:pPr>
      <w:r>
        <w:t>P20B  Piloter les services scolaires périscolaires et jeunesse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Comparer deux organisations d’un service scolaire avec coûts et responsabilités.</w:t>
      </w:r>
    </w:p>
    <w:p>
      <w:pPr>
        <w:spacing w:after="60"/>
      </w:pPr>
      <w:r>
        <w:t>1  Compétences transférées et articulation avec l’Éducation nationale  •  1,5 h</w:t>
      </w:r>
    </w:p>
    <w:p>
      <w:pPr>
        <w:spacing w:after="60"/>
      </w:pPr>
      <w:r>
        <w:t>2  Écoles périscolaire restauration et politique jeunesse  •  2 h</w:t>
      </w:r>
    </w:p>
    <w:p>
      <w:pPr>
        <w:spacing w:after="60"/>
      </w:pPr>
      <w:r>
        <w:t>3  Organisation coûts coopération et continuité  •  2 h</w:t>
      </w:r>
    </w:p>
    <w:p>
      <w:pPr>
        <w:spacing w:after="60"/>
      </w:pPr>
      <w:r>
        <w:t>4  Besoins des familles accessibilité et suivi  •  1,5 h</w:t>
      </w:r>
    </w:p>
    <w:p>
      <w:pPr>
        <w:spacing w:after="100"/>
      </w:pPr>
      <w:r>
        <w:rPr>
          <w:b/>
        </w:rPr>
        <w:t xml:space="preserve">Atelier et livrable  </w:t>
      </w:r>
      <w:r>
        <w:t>Comparer deux organisations d’un service scolaire avec coûts et responsabilités. Le livrable est discuté puis corrigé avec la grille commune. Le temps de production est inclus dans les séquences 3 et 4.</w:t>
      </w:r>
    </w:p>
    <w:p>
      <w:pPr>
        <w:spacing w:after="100"/>
      </w:pPr>
      <w:r>
        <w:rPr>
          <w:b/>
        </w:rPr>
        <w:t xml:space="preserve">Articulation et vigilance  </w:t>
      </w:r>
      <w:r>
        <w:t>Scission de P20. Les exigences de restauration collective sont examinées sans favoriser illégalement une origine locale. P20A traite la petite enfance.</w:t>
      </w:r>
    </w:p>
    <w:p>
      <w:pPr>
        <w:pStyle w:val="Heading2"/>
      </w:pPr>
      <w:r>
        <w:t>P21A  Contribuer à la santé territoriale et à l’accès aux soins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une réponse partenariale à une rupture d’accès aux soins.</w:t>
      </w:r>
    </w:p>
    <w:p>
      <w:pPr>
        <w:spacing w:after="60"/>
      </w:pPr>
      <w:r>
        <w:t>1  Rôles ARS professionnels assurance maladie et collectivités  •  1,5 h</w:t>
      </w:r>
    </w:p>
    <w:p>
      <w:pPr>
        <w:spacing w:after="60"/>
      </w:pPr>
      <w:r>
        <w:t>2  Besoins d’accès et ressources territoriales  •  2 h</w:t>
      </w:r>
    </w:p>
    <w:p>
      <w:pPr>
        <w:spacing w:after="60"/>
      </w:pPr>
      <w:r>
        <w:t>3  MSP CPTS prévention et contrat local de santé  •  2 h</w:t>
      </w:r>
    </w:p>
    <w:p>
      <w:pPr>
        <w:spacing w:after="60"/>
      </w:pPr>
      <w:r>
        <w:t>4  Choix d’intervention financement et gouvernance  •  1,5 h</w:t>
      </w:r>
    </w:p>
    <w:p>
      <w:pPr>
        <w:spacing w:after="100"/>
      </w:pPr>
      <w:r>
        <w:rPr>
          <w:b/>
        </w:rPr>
        <w:t xml:space="preserve">Atelier et livrable  </w:t>
      </w:r>
      <w:r>
        <w:t>Construire une réponse partenariale à une rupture d’accès aux soins. Le livrable est discuté puis corrigé avec la grille commune. Le temps de production est inclus dans les séquences 3 et 4.</w:t>
      </w:r>
    </w:p>
    <w:p>
      <w:pPr>
        <w:spacing w:after="100"/>
      </w:pPr>
      <w:r>
        <w:rPr>
          <w:b/>
        </w:rPr>
        <w:t xml:space="preserve">Articulation et vigilance  </w:t>
      </w:r>
      <w:r>
        <w:t>Scission de P21. L EPCI ne se substitue pas aux autorités sanitaires. Les choix immobiliers et organisationnels sont distingués.</w:t>
      </w:r>
    </w:p>
    <w:p>
      <w:pPr>
        <w:pStyle w:val="Heading2"/>
        <w:pageBreakBefore/>
      </w:pPr>
      <w:r>
        <w:t>P21B  Piloter le CIAS et l’action sociale intercommunale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Préparer un dispositif d’accès aux droits avec critères et indicateurs.</w:t>
      </w:r>
    </w:p>
    <w:p>
      <w:pPr>
        <w:spacing w:after="60"/>
      </w:pPr>
      <w:r>
        <w:t>1  Compétence action sociale intérêt communautaire et gouvernance  •  1,5 h</w:t>
      </w:r>
    </w:p>
    <w:p>
      <w:pPr>
        <w:spacing w:after="60"/>
      </w:pPr>
      <w:r>
        <w:t>2  Analyse des besoins accès aux droits et non recours  •  2 h</w:t>
      </w:r>
    </w:p>
    <w:p>
      <w:pPr>
        <w:spacing w:after="60"/>
      </w:pPr>
      <w:r>
        <w:t>3  Aides facultatives partenariats et confidentialité  •  2 h</w:t>
      </w:r>
    </w:p>
    <w:p>
      <w:pPr>
        <w:spacing w:after="60"/>
      </w:pPr>
      <w:r>
        <w:t>4  Budget qualité et évaluation  •  1,5 h</w:t>
      </w:r>
    </w:p>
    <w:p>
      <w:pPr>
        <w:spacing w:after="100"/>
      </w:pPr>
      <w:r>
        <w:rPr>
          <w:b/>
        </w:rPr>
        <w:t xml:space="preserve">Atelier et livrable  </w:t>
      </w:r>
      <w:r>
        <w:t>Préparer un dispositif d’accès aux droits avec critères et indicateurs. Le livrable est discuté puis corrigé avec la grille commune. Le temps de production est inclus dans les séquences 3 et 4.</w:t>
      </w:r>
    </w:p>
    <w:p>
      <w:pPr>
        <w:spacing w:after="100"/>
      </w:pPr>
      <w:r>
        <w:rPr>
          <w:b/>
        </w:rPr>
        <w:t xml:space="preserve">Articulation et vigilance  </w:t>
      </w:r>
      <w:r>
        <w:t>Scission de P21. Distinguer CIAS CCAS département et État. Hébergement d’urgence 115 et SIAO ne sont pas globalement attribués à l’EPCI.</w:t>
      </w:r>
    </w:p>
    <w:p>
      <w:pPr>
        <w:pStyle w:val="Heading2"/>
      </w:pPr>
      <w:r>
        <w:t>P22A  Organiser la prévention et distinguer les pouvoirs de police</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Cartographier les pouvoirs effectifs puis préparer un acte et une convention de coordination.</w:t>
      </w:r>
    </w:p>
    <w:p>
      <w:pPr>
        <w:spacing w:after="60"/>
      </w:pPr>
      <w:r>
        <w:t>1  Police générale du maire et polices spéciales transférées  •  1,5 h</w:t>
      </w:r>
    </w:p>
    <w:p>
      <w:pPr>
        <w:spacing w:after="60"/>
      </w:pPr>
      <w:r>
        <w:t>2  Oppositions renonciations et actes du président  •  2 h</w:t>
      </w:r>
    </w:p>
    <w:p>
      <w:pPr>
        <w:spacing w:after="60"/>
      </w:pPr>
      <w:r>
        <w:t>3  Police municipale mutualisée CISPD et partenaires  •  2 h</w:t>
      </w:r>
    </w:p>
    <w:p>
      <w:pPr>
        <w:spacing w:after="60"/>
      </w:pPr>
      <w:r>
        <w:t>4  Vidéoprotection données et prévention des violences  •  1,5 h</w:t>
      </w:r>
    </w:p>
    <w:p>
      <w:pPr>
        <w:spacing w:after="100"/>
      </w:pPr>
      <w:r>
        <w:rPr>
          <w:b/>
        </w:rPr>
        <w:t xml:space="preserve">Atelier et livrable  </w:t>
      </w:r>
      <w:r>
        <w:t>Cartographier les pouvoirs effectifs puis préparer un acte et une convention de coordination. Le livrable est discuté puis corrigé avec la grille commune. Le temps de production est inclus dans les séquences 3 et 4.</w:t>
      </w:r>
    </w:p>
    <w:p>
      <w:pPr>
        <w:spacing w:after="100"/>
      </w:pPr>
      <w:r>
        <w:rPr>
          <w:b/>
        </w:rPr>
        <w:t xml:space="preserve">Articulation et vigilance  </w:t>
      </w:r>
      <w:r>
        <w:t>Scission de P22. Mutualiser des agents ne transfère pas la police générale du maire. Le conseil intercommunal est distingué du CLSPD communal. P22B traite la sauvegarde.</w:t>
      </w:r>
    </w:p>
    <w:p>
      <w:pPr>
        <w:pStyle w:val="Heading2"/>
        <w:pageBreakBefore/>
      </w:pPr>
      <w:r>
        <w:t>P22B  Préparer le PICS et la continuité des services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Simuler une inondation multicommunale et produire une fiche de mobilisation et de continuité.</w:t>
      </w:r>
    </w:p>
    <w:p>
      <w:pPr>
        <w:spacing w:after="60"/>
      </w:pPr>
      <w:r>
        <w:t>1  Obligations PICS articulation PCS et ORSEC  •  1,5 h</w:t>
      </w:r>
    </w:p>
    <w:p>
      <w:pPr>
        <w:spacing w:after="60"/>
      </w:pPr>
      <w:r>
        <w:t>2  Mobilisation des capacités EPCI et mutualisation communale  •  2 h</w:t>
      </w:r>
    </w:p>
    <w:p>
      <w:pPr>
        <w:spacing w:after="60"/>
      </w:pPr>
      <w:r>
        <w:t>3  Continuité rétablissement et responsabilités du président et des maires  •  2 h</w:t>
      </w:r>
    </w:p>
    <w:p>
      <w:pPr>
        <w:spacing w:after="60"/>
      </w:pPr>
      <w:r>
        <w:t>4  Exercice alerte communication et retour d’expérience  •  1,5 h</w:t>
      </w:r>
    </w:p>
    <w:p>
      <w:pPr>
        <w:spacing w:after="100"/>
      </w:pPr>
      <w:r>
        <w:rPr>
          <w:b/>
        </w:rPr>
        <w:t xml:space="preserve">Atelier et livrable  </w:t>
      </w:r>
      <w:r>
        <w:t>Simuler une inondation multicommunale et produire une fiche de mobilisation et de continuité. Le livrable est discuté puis corrigé avec la grille commune. Le temps de production est inclus dans les séquences 3 et 4.</w:t>
      </w:r>
    </w:p>
    <w:p>
      <w:pPr>
        <w:spacing w:after="100"/>
      </w:pPr>
      <w:r>
        <w:rPr>
          <w:b/>
        </w:rPr>
        <w:t xml:space="preserve">Articulation et vigilance  </w:t>
      </w:r>
      <w:r>
        <w:t>Scission de P22. PICS remplace l’expression PCS intercommunal. L EPCI ne devient pas une autorité générale de direction des secours.</w:t>
      </w:r>
    </w:p>
    <w:p>
      <w:pPr>
        <w:pStyle w:val="Heading2"/>
      </w:pPr>
      <w:r>
        <w:t>P23A  Informer les habitants et rendre lisible l’intercommunalité</w:t>
      </w:r>
    </w:p>
    <w:p>
      <w:pPr>
        <w:spacing w:after="100"/>
      </w:pPr>
      <w:r>
        <w:rPr>
          <w:b/>
        </w:rPr>
        <w:t xml:space="preserve">Durée et public  </w:t>
      </w:r>
      <w:r>
        <w:t>7 h • Domaine 4 • Élus concernés par le sujet. Offre pédagogique rédigée, moyens à confirmer.</w:t>
      </w:r>
    </w:p>
    <w:p>
      <w:pPr>
        <w:spacing w:after="100"/>
      </w:pPr>
      <w:r>
        <w:rPr>
          <w:b/>
        </w:rPr>
        <w:t xml:space="preserve">Objectif évalué  </w:t>
      </w:r>
      <w:r>
        <w:t>Réviser une information sur un service puis présenter une décision en trois minutes.</w:t>
      </w:r>
    </w:p>
    <w:p>
      <w:pPr>
        <w:spacing w:after="60"/>
      </w:pPr>
      <w:r>
        <w:t>1  Information institutionnelle compétences et accessibilité  •  1,5 h</w:t>
      </w:r>
    </w:p>
    <w:p>
      <w:pPr>
        <w:spacing w:after="60"/>
      </w:pPr>
      <w:r>
        <w:t>2  Supports communaux et intercommunaux cohérence des messages  •  2 h</w:t>
      </w:r>
    </w:p>
    <w:p>
      <w:pPr>
        <w:spacing w:after="60"/>
      </w:pPr>
      <w:r>
        <w:t>3  Prise de parole presse et réseaux  •  2 h</w:t>
      </w:r>
    </w:p>
    <w:p>
      <w:pPr>
        <w:spacing w:after="60"/>
      </w:pPr>
      <w:r>
        <w:t>4  Validation des publications et gestion des controverses  •  1,5 h</w:t>
      </w:r>
    </w:p>
    <w:p>
      <w:pPr>
        <w:spacing w:after="100"/>
      </w:pPr>
      <w:r>
        <w:rPr>
          <w:b/>
        </w:rPr>
        <w:t xml:space="preserve">Atelier et livrable  </w:t>
      </w:r>
      <w:r>
        <w:t>Réviser une information sur un service puis présenter une décision en trois minutes. Le livrable est discuté puis corrigé avec la grille commune. Le temps de production est inclus dans les séquences 3 et 4.</w:t>
      </w:r>
    </w:p>
    <w:p>
      <w:pPr>
        <w:spacing w:after="100"/>
      </w:pPr>
      <w:r>
        <w:rPr>
          <w:b/>
        </w:rPr>
        <w:t xml:space="preserve">Articulation et vigilance  </w:t>
      </w:r>
      <w:r>
        <w:t>Scission de P23. P23B organise la participation et P26B la légalité en période préélectorale.</w:t>
      </w:r>
    </w:p>
    <w:p>
      <w:pPr>
        <w:pStyle w:val="Heading2"/>
        <w:pageBreakBefore/>
      </w:pPr>
      <w:r>
        <w:t>P23B  Organiser la participation et le conseil de développement</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Concevoir une concertation avec une réponse organisée aux contributions.</w:t>
      </w:r>
    </w:p>
    <w:p>
      <w:pPr>
        <w:spacing w:after="60"/>
      </w:pPr>
      <w:r>
        <w:t>1  Objet de participation et marges de décision  •  1,5 h</w:t>
      </w:r>
    </w:p>
    <w:p>
      <w:pPr>
        <w:spacing w:after="60"/>
      </w:pPr>
      <w:r>
        <w:t>2  Conseil de développement conditions et composition  •  2 h</w:t>
      </w:r>
    </w:p>
    <w:p>
      <w:pPr>
        <w:spacing w:after="60"/>
      </w:pPr>
      <w:r>
        <w:t>3  Concertation publics accessibilité et traitement des contributions  •  2 h</w:t>
      </w:r>
    </w:p>
    <w:p>
      <w:pPr>
        <w:spacing w:after="60"/>
      </w:pPr>
      <w:r>
        <w:t>4  Restitution engagements et évaluation  •  1,5 h</w:t>
      </w:r>
    </w:p>
    <w:p>
      <w:pPr>
        <w:spacing w:after="100"/>
      </w:pPr>
      <w:r>
        <w:rPr>
          <w:b/>
        </w:rPr>
        <w:t xml:space="preserve">Atelier et livrable  </w:t>
      </w:r>
      <w:r>
        <w:t>Concevoir une concertation avec une réponse organisée aux contributions. Le livrable est discuté puis corrigé avec la grille commune. Le temps de production est inclus dans les séquences 3 et 4.</w:t>
      </w:r>
    </w:p>
    <w:p>
      <w:pPr>
        <w:spacing w:after="100"/>
      </w:pPr>
      <w:r>
        <w:rPr>
          <w:b/>
        </w:rPr>
        <w:t xml:space="preserve">Articulation et vigilance  </w:t>
      </w:r>
      <w:r>
        <w:t>Scission de P23. Le conseil de développement ne se substitue pas au conseil communautaire. Les obligations sont vérifiées selon la population et l’organisation retenue.</w:t>
      </w:r>
    </w:p>
    <w:p>
      <w:pPr>
        <w:pStyle w:val="Heading2"/>
      </w:pPr>
      <w:r>
        <w:t>P24A  Gouverner les données et les usages de l’IA intercommunale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Évaluer un assistant de rédaction sur des données fictives et rédiger une règle d’usage.</w:t>
      </w:r>
    </w:p>
    <w:p>
      <w:pPr>
        <w:spacing w:after="60"/>
      </w:pPr>
      <w:r>
        <w:t>1  Données responsabilités DPO RGPD et données ouvertes  •  1,5 h</w:t>
      </w:r>
    </w:p>
    <w:p>
      <w:pPr>
        <w:spacing w:after="60"/>
      </w:pPr>
      <w:r>
        <w:t>2  Usages de l’IA qualité biais transparence et contrôle humain  •  2 h</w:t>
      </w:r>
    </w:p>
    <w:p>
      <w:pPr>
        <w:spacing w:after="60"/>
      </w:pPr>
      <w:r>
        <w:t>3  Mutualisation des outils et contrats avec les communes  •  2 h</w:t>
      </w:r>
    </w:p>
    <w:p>
      <w:pPr>
        <w:spacing w:after="60"/>
      </w:pPr>
      <w:r>
        <w:t>4  Choix d’usage règles internes et conduite du changement  •  1,5 h</w:t>
      </w:r>
    </w:p>
    <w:p>
      <w:pPr>
        <w:spacing w:after="100"/>
      </w:pPr>
      <w:r>
        <w:rPr>
          <w:b/>
        </w:rPr>
        <w:t xml:space="preserve">Atelier et livrable  </w:t>
      </w:r>
      <w:r>
        <w:t>Évaluer un assistant de rédaction sur des données fictives et rédiger une règle d’usage. Le livrable est discuté puis corrigé avec la grille commune. Le temps de production est inclus dans les séquences 3 et 4.</w:t>
      </w:r>
    </w:p>
    <w:p>
      <w:pPr>
        <w:spacing w:after="100"/>
      </w:pPr>
      <w:r>
        <w:rPr>
          <w:b/>
        </w:rPr>
        <w:t xml:space="preserve">Articulation et vigilance  </w:t>
      </w:r>
      <w:r>
        <w:t>Scission de P24. Les obligations du règlement européen sur l’IA sont vérifiées selon le rôle l’usage et les dates applicables. P24B traite la cybercontinuité.</w:t>
      </w:r>
    </w:p>
    <w:p>
      <w:pPr>
        <w:pStyle w:val="Heading2"/>
        <w:pageBreakBefore/>
      </w:pPr>
      <w:r>
        <w:t>P24B  Préparer la cybercontinuité des services mutualisés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Simuler un rançongiciel et prioriser le rétablissement des services.</w:t>
      </w:r>
    </w:p>
    <w:p>
      <w:pPr>
        <w:spacing w:after="60"/>
      </w:pPr>
      <w:r>
        <w:t>1  Systèmes critiques accès prestataires et sauvegardes  •  1,5 h</w:t>
      </w:r>
    </w:p>
    <w:p>
      <w:pPr>
        <w:spacing w:after="60"/>
      </w:pPr>
      <w:r>
        <w:t>2  Prévention coordination EPCI communes et responsabilités  •  2 h</w:t>
      </w:r>
    </w:p>
    <w:p>
      <w:pPr>
        <w:spacing w:after="60"/>
      </w:pPr>
      <w:r>
        <w:t>3  Gestion d’incident signalements et information  •  2 h</w:t>
      </w:r>
    </w:p>
    <w:p>
      <w:pPr>
        <w:spacing w:after="60"/>
      </w:pPr>
      <w:r>
        <w:t>4  Continuité restauration et exercices  •  1,5 h</w:t>
      </w:r>
    </w:p>
    <w:p>
      <w:pPr>
        <w:spacing w:after="100"/>
      </w:pPr>
      <w:r>
        <w:rPr>
          <w:b/>
        </w:rPr>
        <w:t xml:space="preserve">Atelier et livrable  </w:t>
      </w:r>
      <w:r>
        <w:t>Simuler un rançongiciel et prioriser le rétablissement des services. Le livrable est discuté puis corrigé avec la grille commune. Le temps de production est inclus dans les séquences 3 et 4.</w:t>
      </w:r>
    </w:p>
    <w:p>
      <w:pPr>
        <w:spacing w:after="100"/>
      </w:pPr>
      <w:r>
        <w:rPr>
          <w:b/>
        </w:rPr>
        <w:t xml:space="preserve">Articulation et vigilance  </w:t>
      </w:r>
      <w:r>
        <w:t>Scission de P24. L applicabilité de NIS 2 et des textes français est vérifiée pour l’entité concernée sans présumer que tout EPCI entre dans le même régime. Ne remplace pas un audit technique.</w:t>
      </w:r>
    </w:p>
    <w:p>
      <w:pPr>
        <w:pStyle w:val="Heading2"/>
      </w:pPr>
      <w:r>
        <w:t>P24C  Piloter la connectivité et l’inclusion numérique du territoire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 plan territorial d’accès aux services numériques avec acteurs et priorités.</w:t>
      </w:r>
    </w:p>
    <w:p>
      <w:pPr>
        <w:spacing w:after="60"/>
      </w:pPr>
      <w:r>
        <w:t>1  Compétences aménagement numérique et acteurs des réseaux  •  1,5 h</w:t>
      </w:r>
    </w:p>
    <w:p>
      <w:pPr>
        <w:spacing w:after="60"/>
      </w:pPr>
      <w:r>
        <w:t>2  Fermeture du cuivre couverture mobile et besoins réels  •  2 h</w:t>
      </w:r>
    </w:p>
    <w:p>
      <w:pPr>
        <w:spacing w:after="60"/>
      </w:pPr>
      <w:r>
        <w:t>3  Accès aux démarches accompagnement et publics éloignés  •  2 h</w:t>
      </w:r>
    </w:p>
    <w:p>
      <w:pPr>
        <w:spacing w:after="60"/>
      </w:pPr>
      <w:r>
        <w:t>4  Coopération budget et indicateurs de continuité d’accès  •  1,5 h</w:t>
      </w:r>
    </w:p>
    <w:p>
      <w:pPr>
        <w:spacing w:after="100"/>
      </w:pPr>
      <w:r>
        <w:rPr>
          <w:b/>
        </w:rPr>
        <w:t xml:space="preserve">Atelier et livrable  </w:t>
      </w:r>
      <w:r>
        <w:t>Construire un plan territorial d’accès aux services numériques avec acteurs et priorités. Le livrable est discuté puis corrigé avec la grille commune. Le temps de production est inclus dans les séquences 3 et 4.</w:t>
      </w:r>
    </w:p>
    <w:p>
      <w:pPr>
        <w:spacing w:after="100"/>
      </w:pPr>
      <w:r>
        <w:rPr>
          <w:b/>
        </w:rPr>
        <w:t xml:space="preserve">Articulation et vigilance  </w:t>
      </w:r>
      <w:r>
        <w:t>Scission de P24. Dates de fermeture du cuivre et engagements des opérateurs sont vérifiés localement. La compétence numérique ne découle pas de la seule existence de l’EPCI.</w:t>
      </w:r>
    </w:p>
    <w:p>
      <w:pPr>
        <w:pStyle w:val="Heading2"/>
        <w:pageBreakBefore/>
      </w:pPr>
      <w:r>
        <w:t>P25A  Organiser les mutualisations entre communes et EPCI</w:t>
      </w:r>
    </w:p>
    <w:p>
      <w:pPr>
        <w:spacing w:after="100"/>
      </w:pPr>
      <w:r>
        <w:rPr>
          <w:b/>
        </w:rPr>
        <w:t xml:space="preserve">Durée et public  </w:t>
      </w:r>
      <w:r>
        <w:t>7 h • Domaine 6 • Élus concernés par le sujet. Offre pédagogique rédigée, moyens à confirmer.</w:t>
      </w:r>
    </w:p>
    <w:p>
      <w:pPr>
        <w:spacing w:after="100"/>
      </w:pPr>
      <w:r>
        <w:rPr>
          <w:b/>
        </w:rPr>
        <w:t xml:space="preserve">Objectif évalué  </w:t>
      </w:r>
      <w:r>
        <w:t>Comparer deux mutualisations et préparer une convention avec responsabilités et coûts.</w:t>
      </w:r>
    </w:p>
    <w:p>
      <w:pPr>
        <w:spacing w:after="60"/>
      </w:pPr>
      <w:r>
        <w:t>1  Compétences besoins et objectifs de service  •  1,5 h</w:t>
      </w:r>
    </w:p>
    <w:p>
      <w:pPr>
        <w:spacing w:after="60"/>
      </w:pPr>
      <w:r>
        <w:t>2  Mise à disposition services communs et prestations  •  2 h</w:t>
      </w:r>
    </w:p>
    <w:p>
      <w:pPr>
        <w:spacing w:after="60"/>
      </w:pPr>
      <w:r>
        <w:t>3  Convention coûts flux financiers personnels et contrôle  •  2 h</w:t>
      </w:r>
    </w:p>
    <w:p>
      <w:pPr>
        <w:spacing w:after="60"/>
      </w:pPr>
      <w:r>
        <w:t>4  Mise en œuvre qualité et réversibilité  •  1,5 h</w:t>
      </w:r>
    </w:p>
    <w:p>
      <w:pPr>
        <w:spacing w:after="100"/>
      </w:pPr>
      <w:r>
        <w:rPr>
          <w:b/>
        </w:rPr>
        <w:t xml:space="preserve">Atelier et livrable  </w:t>
      </w:r>
      <w:r>
        <w:t>Comparer deux mutualisations et préparer une convention avec responsabilités et coûts. Le livrable est discuté puis corrigé avec la grille commune. Le temps de production est inclus dans les séquences 3 et 4.</w:t>
      </w:r>
    </w:p>
    <w:p>
      <w:pPr>
        <w:spacing w:after="100"/>
      </w:pPr>
      <w:r>
        <w:rPr>
          <w:b/>
        </w:rPr>
        <w:t xml:space="preserve">Articulation et vigilance  </w:t>
      </w:r>
      <w:r>
        <w:t>Scission de P25. P6 traite la CLECT et les attributions de compensation P25B les responsabilités d’employeur. Aucune économie automatique n est promise.</w:t>
      </w:r>
    </w:p>
    <w:p>
      <w:pPr>
        <w:pStyle w:val="Heading2"/>
      </w:pPr>
      <w:r>
        <w:t>P25B  Exercer la fonction d’élu employeur et conduire le changement</w:t>
      </w:r>
    </w:p>
    <w:p>
      <w:pPr>
        <w:spacing w:after="100"/>
      </w:pPr>
      <w:r>
        <w:rPr>
          <w:b/>
        </w:rPr>
        <w:t xml:space="preserve">Durée et public  </w:t>
      </w:r>
      <w:r>
        <w:t>7 h • Domaine 6 • Élus concernés par le sujet. Offre pédagogique rédigée, moyens à confirmer.</w:t>
      </w:r>
    </w:p>
    <w:p>
      <w:pPr>
        <w:spacing w:after="100"/>
      </w:pPr>
      <w:r>
        <w:rPr>
          <w:b/>
        </w:rPr>
        <w:t xml:space="preserve">Objectif évalué  </w:t>
      </w:r>
      <w:r>
        <w:t>Construire un plan de réorganisation avec acteurs étapes et mesures de prévention.</w:t>
      </w:r>
    </w:p>
    <w:p>
      <w:pPr>
        <w:spacing w:after="60"/>
      </w:pPr>
      <w:r>
        <w:t>1  Autorité territoriale direction délégations et encadrement  •  1,5 h</w:t>
      </w:r>
    </w:p>
    <w:p>
      <w:pPr>
        <w:spacing w:after="60"/>
      </w:pPr>
      <w:r>
        <w:t>2  Recrutement attractivité prévention et dialogue social  •  2 h</w:t>
      </w:r>
    </w:p>
    <w:p>
      <w:pPr>
        <w:spacing w:after="60"/>
      </w:pPr>
      <w:r>
        <w:t>3  Réorganisation relations élus agents et continuité  •  2 h</w:t>
      </w:r>
    </w:p>
    <w:p>
      <w:pPr>
        <w:spacing w:after="60"/>
      </w:pPr>
      <w:r>
        <w:t>4  Plan de changement indicateurs et suivi  •  1,5 h</w:t>
      </w:r>
    </w:p>
    <w:p>
      <w:pPr>
        <w:spacing w:after="100"/>
      </w:pPr>
      <w:r>
        <w:rPr>
          <w:b/>
        </w:rPr>
        <w:t xml:space="preserve">Atelier et livrable  </w:t>
      </w:r>
      <w:r>
        <w:t>Construire un plan de réorganisation avec acteurs étapes et mesures de prévention. Le livrable est discuté puis corrigé avec la grille commune. Le temps de production est inclus dans les séquences 3 et 4.</w:t>
      </w:r>
    </w:p>
    <w:p>
      <w:pPr>
        <w:spacing w:after="100"/>
      </w:pPr>
      <w:r>
        <w:rPr>
          <w:b/>
        </w:rPr>
        <w:t xml:space="preserve">Articulation et vigilance  </w:t>
      </w:r>
      <w:r>
        <w:t>Scission de P25. Les décisions relèvent de l’autorité compétente et des délégations réelles. La formation des agents relève d’un dispositif distinct.</w:t>
      </w:r>
    </w:p>
    <w:p>
      <w:pPr>
        <w:pStyle w:val="Heading2"/>
        <w:pageBreakBefore/>
      </w:pPr>
      <w:r>
        <w:t>P26A  Évaluer le mandat intercommunal et préparer la passation</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Produire une trame de bilan étayée et un dossier de passation.</w:t>
      </w:r>
    </w:p>
    <w:p>
      <w:pPr>
        <w:spacing w:after="60"/>
      </w:pPr>
      <w:r>
        <w:t>1  Objectifs engagements décisions et réalisations  •  1,5 h</w:t>
      </w:r>
    </w:p>
    <w:p>
      <w:pPr>
        <w:spacing w:after="60"/>
      </w:pPr>
      <w:r>
        <w:t>2  Résultats coûts limites et restitutions factuelles  •  2 h</w:t>
      </w:r>
    </w:p>
    <w:p>
      <w:pPr>
        <w:spacing w:after="60"/>
      </w:pPr>
      <w:r>
        <w:t>3  Dossiers en cours contrats archives et engagements  •  2 h</w:t>
      </w:r>
    </w:p>
    <w:p>
      <w:pPr>
        <w:spacing w:after="60"/>
      </w:pPr>
      <w:r>
        <w:t>4  Passation continuité et articulation avec les communes  •  1,5 h</w:t>
      </w:r>
    </w:p>
    <w:p>
      <w:pPr>
        <w:spacing w:after="100"/>
      </w:pPr>
      <w:r>
        <w:rPr>
          <w:b/>
        </w:rPr>
        <w:t xml:space="preserve">Atelier et livrable  </w:t>
      </w:r>
      <w:r>
        <w:t>Produire une trame de bilan étayée et un dossier de passation. Le livrable est discuté puis corrigé avec la grille commune. Le temps de production est inclus dans les séquences 3 et 4.</w:t>
      </w:r>
    </w:p>
    <w:p>
      <w:pPr>
        <w:spacing w:after="100"/>
      </w:pPr>
      <w:r>
        <w:rPr>
          <w:b/>
        </w:rPr>
        <w:t xml:space="preserve">Articulation et vigilance  </w:t>
      </w:r>
      <w:r>
        <w:t>Scission de P26. P29 approfondit la méthode d’évaluation. La passation ne constitue pas une préparation de campagne.</w:t>
      </w:r>
    </w:p>
    <w:p>
      <w:pPr>
        <w:pStyle w:val="Heading2"/>
      </w:pPr>
      <w:r>
        <w:t>P26B  Sécuriser la communication institutionnelle préélectorale</w:t>
      </w:r>
    </w:p>
    <w:p>
      <w:pPr>
        <w:spacing w:after="100"/>
      </w:pPr>
      <w:r>
        <w:rPr>
          <w:b/>
        </w:rPr>
        <w:t xml:space="preserve">Durée et public  </w:t>
      </w:r>
      <w:r>
        <w:t>7 h • Domaine 4 • Élus concernés par le sujet. Offre pédagogique rédigée, moyens à confirmer.</w:t>
      </w:r>
    </w:p>
    <w:p>
      <w:pPr>
        <w:spacing w:after="100"/>
      </w:pPr>
      <w:r>
        <w:rPr>
          <w:b/>
        </w:rPr>
        <w:t xml:space="preserve">Objectif évalué  </w:t>
      </w:r>
      <w:r>
        <w:t>Auditer un magazine un rapport de mandat et une inauguration.</w:t>
      </w:r>
    </w:p>
    <w:p>
      <w:pPr>
        <w:spacing w:after="60"/>
      </w:pPr>
      <w:r>
        <w:t>1  Règles électorales et moyens publics  •  1,5 h</w:t>
      </w:r>
    </w:p>
    <w:p>
      <w:pPr>
        <w:spacing w:after="60"/>
      </w:pPr>
      <w:r>
        <w:t>2  Publications événements bilan de mandat et supports numériques  •  2 h</w:t>
      </w:r>
    </w:p>
    <w:p>
      <w:pPr>
        <w:spacing w:after="60"/>
      </w:pPr>
      <w:r>
        <w:t>3  Validation traçabilité et situations de double mandat  •  2 h</w:t>
      </w:r>
    </w:p>
    <w:p>
      <w:pPr>
        <w:spacing w:after="60"/>
      </w:pPr>
      <w:r>
        <w:t>4  Audit des pratiques et corrections  •  1,5 h</w:t>
      </w:r>
    </w:p>
    <w:p>
      <w:pPr>
        <w:spacing w:after="100"/>
      </w:pPr>
      <w:r>
        <w:rPr>
          <w:b/>
        </w:rPr>
        <w:t xml:space="preserve">Atelier et livrable  </w:t>
      </w:r>
      <w:r>
        <w:t>Auditer un magazine un rapport de mandat et une inauguration. Le livrable est discuté puis corrigé avec la grille commune. Le temps de production est inclus dans les séquences 3 et 4.</w:t>
      </w:r>
    </w:p>
    <w:p>
      <w:pPr>
        <w:spacing w:after="100"/>
      </w:pPr>
      <w:r>
        <w:rPr>
          <w:b/>
        </w:rPr>
        <w:t xml:space="preserve">Articulation et vigilance  </w:t>
      </w:r>
      <w:r>
        <w:t>Scission de P26. La stratégie de réélection est retirée. Le fléchage et l’ordre du tableau sont distingués selon les règles applicables aux communes sans prédire le droit électoral de 2032.</w:t>
      </w:r>
    </w:p>
    <w:p>
      <w:pPr>
        <w:pStyle w:val="Heading2"/>
        <w:pageBreakBefore/>
      </w:pPr>
      <w:r>
        <w:t>P26C  Préparer la transition professionnelle après le mandat</w:t>
      </w:r>
    </w:p>
    <w:p>
      <w:pPr>
        <w:spacing w:after="100"/>
      </w:pPr>
      <w:r>
        <w:rPr>
          <w:b/>
        </w:rPr>
        <w:t xml:space="preserve">Durée et public  </w:t>
      </w:r>
      <w:r>
        <w:t>7 h • Orientation professionnelle hors répertoire du mandat • Élus concernés par le sujet. Offre pédagogique rédigée, moyens à confirmer.</w:t>
      </w:r>
    </w:p>
    <w:p>
      <w:pPr>
        <w:spacing w:after="100"/>
      </w:pPr>
      <w:r>
        <w:rPr>
          <w:b/>
        </w:rPr>
        <w:t xml:space="preserve">Objectif évalué  </w:t>
      </w:r>
      <w:r>
        <w:t>Construire un portefeuille de compétences et une feuille de démarches.</w:t>
      </w:r>
    </w:p>
    <w:p>
      <w:pPr>
        <w:spacing w:after="60"/>
      </w:pPr>
      <w:r>
        <w:t>1  Compétences exercées et preuves de réalisation  •  1,5 h</w:t>
      </w:r>
    </w:p>
    <w:p>
      <w:pPr>
        <w:spacing w:after="60"/>
      </w:pPr>
      <w:r>
        <w:t>2  Droits interlocuteurs et conditions de mobilisation  •  2 h</w:t>
      </w:r>
    </w:p>
    <w:p>
      <w:pPr>
        <w:spacing w:after="60"/>
      </w:pPr>
      <w:r>
        <w:t>3  Projet professionnel VAE et formations adaptées  •  2 h</w:t>
      </w:r>
    </w:p>
    <w:p>
      <w:pPr>
        <w:spacing w:after="60"/>
      </w:pPr>
      <w:r>
        <w:t>4  Calendrier démarches et accompagnement  •  1,5 h</w:t>
      </w:r>
    </w:p>
    <w:p>
      <w:pPr>
        <w:spacing w:after="100"/>
      </w:pPr>
      <w:r>
        <w:rPr>
          <w:b/>
        </w:rPr>
        <w:t xml:space="preserve">Atelier et livrable  </w:t>
      </w:r>
      <w:r>
        <w:t>Construire un portefeuille de compétences et une feuille de démarches. Le livrable est discuté puis corrigé avec la grille commune. Le temps de production est inclus dans les séquences 3 et 4.</w:t>
      </w:r>
    </w:p>
    <w:p>
      <w:pPr>
        <w:spacing w:after="100"/>
      </w:pPr>
      <w:r>
        <w:rPr>
          <w:b/>
        </w:rPr>
        <w:t xml:space="preserve">Articulation et vigilance  </w:t>
      </w:r>
      <w:r>
        <w:t>Scission de P26. Orientation distincte d’un bilan de compétences réglementé. Financement DIFE ou CPF non présumé et rattachement hors répertoire des formations du mandat.</w:t>
      </w:r>
    </w:p>
    <w:p>
      <w:pPr>
        <w:pStyle w:val="Heading2"/>
      </w:pPr>
      <w:r>
        <w:t>P27  Financer et suivre un projet intercommunal</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Préparer un plan de financement et un dossier avec reste à charge et risques.</w:t>
      </w:r>
    </w:p>
    <w:p>
      <w:pPr>
        <w:spacing w:after="60"/>
      </w:pPr>
      <w:r>
        <w:t>1  Bénéficiaire projet et conditions des aides  •  1,5 h</w:t>
      </w:r>
    </w:p>
    <w:p>
      <w:pPr>
        <w:spacing w:after="60"/>
      </w:pPr>
      <w:r>
        <w:t>2  Subventions programmes européens et partenaires  •  2 h</w:t>
      </w:r>
    </w:p>
    <w:p>
      <w:pPr>
        <w:spacing w:after="60"/>
      </w:pPr>
      <w:r>
        <w:t>3  Plan de financement calendrier et dossier  •  2 h</w:t>
      </w:r>
    </w:p>
    <w:p>
      <w:pPr>
        <w:spacing w:after="60"/>
      </w:pPr>
      <w:r>
        <w:t>4  Justificatifs contrôles et reversements  •  1,5 h</w:t>
      </w:r>
    </w:p>
    <w:p>
      <w:pPr>
        <w:spacing w:after="100"/>
      </w:pPr>
      <w:r>
        <w:rPr>
          <w:b/>
        </w:rPr>
        <w:t xml:space="preserve">Atelier et livrable  </w:t>
      </w:r>
      <w:r>
        <w:t>Préparer un plan de financement et un dossier avec reste à charge et risques. Le livrable est discuté puis corrigé avec la grille commune. Le temps de production est inclus dans les séquences 3 et 4.</w:t>
      </w:r>
    </w:p>
    <w:p>
      <w:pPr>
        <w:spacing w:after="100"/>
      </w:pPr>
      <w:r>
        <w:rPr>
          <w:b/>
        </w:rPr>
        <w:t xml:space="preserve">Articulation et vigilance  </w:t>
      </w:r>
      <w:r>
        <w:t>Ajout. P5 couvre le budget P32 la dette. DETR DSIL fonds vert et autres aides sont examinés selon leurs conditions sans disponibilité universelle.</w:t>
      </w:r>
    </w:p>
    <w:p>
      <w:pPr>
        <w:pStyle w:val="Heading2"/>
        <w:pageBreakBefore/>
      </w:pPr>
      <w:r>
        <w:t>P28  Préparer un contrôle CRC et comprendre le contentieux financier</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Rédiger une réponse documentée à une observation et un plan de mesures correctrices.</w:t>
      </w:r>
    </w:p>
    <w:p>
      <w:pPr>
        <w:spacing w:after="60"/>
      </w:pPr>
      <w:r>
        <w:t>1  Contrôle budgétaire et examen de la gestion  •  1,5 h</w:t>
      </w:r>
    </w:p>
    <w:p>
      <w:pPr>
        <w:spacing w:after="60"/>
      </w:pPr>
      <w:r>
        <w:t>2  Procédure contradictoire pièces et observations  •  2 h</w:t>
      </w:r>
    </w:p>
    <w:p>
      <w:pPr>
        <w:spacing w:after="60"/>
      </w:pPr>
      <w:r>
        <w:t>3  Réponse plan correctif et suivi  •  2 h</w:t>
      </w:r>
    </w:p>
    <w:p>
      <w:pPr>
        <w:spacing w:after="60"/>
      </w:pPr>
      <w:r>
        <w:t>4  Responsabilité financière champ des justiciables et juridictions  •  1,5 h</w:t>
      </w:r>
    </w:p>
    <w:p>
      <w:pPr>
        <w:spacing w:after="100"/>
      </w:pPr>
      <w:r>
        <w:rPr>
          <w:b/>
        </w:rPr>
        <w:t xml:space="preserve">Atelier et livrable  </w:t>
      </w:r>
      <w:r>
        <w:t>Rédiger une réponse documentée à une observation et un plan de mesures correctrices. Le livrable est discuté puis corrigé avec la grille commune. Le temps de production est inclus dans les séquences 3 et 4.</w:t>
      </w:r>
    </w:p>
    <w:p>
      <w:pPr>
        <w:spacing w:after="100"/>
      </w:pPr>
      <w:r>
        <w:rPr>
          <w:b/>
        </w:rPr>
        <w:t xml:space="preserve">Articulation et vigilance  </w:t>
      </w:r>
      <w:r>
        <w:t>Ajout extrait de P3. La CDBF est supprimée. Le contentieux du régime issu de 2023 est distingué des contrôles CRC et des responsabilités pénales de l’élu.</w:t>
      </w:r>
    </w:p>
    <w:p>
      <w:pPr>
        <w:pStyle w:val="Heading2"/>
      </w:pPr>
      <w:r>
        <w:t>P29  Évaluer les politiques intercommunales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Évaluer un service fictif et justifier trois améliorations et leurs limites.</w:t>
      </w:r>
    </w:p>
    <w:p>
      <w:pPr>
        <w:spacing w:after="60"/>
      </w:pPr>
      <w:r>
        <w:t>1  Question évaluative objectifs et résultats attendus  •  1,5 h</w:t>
      </w:r>
    </w:p>
    <w:p>
      <w:pPr>
        <w:spacing w:after="60"/>
      </w:pPr>
      <w:r>
        <w:t>2  Données indicateurs effets et limites d’attribution  •  2 h</w:t>
      </w:r>
    </w:p>
    <w:p>
      <w:pPr>
        <w:spacing w:after="60"/>
      </w:pPr>
      <w:r>
        <w:t>3  Coûts comparaison entre communes et équité territoriale  •  2 h</w:t>
      </w:r>
    </w:p>
    <w:p>
      <w:pPr>
        <w:spacing w:after="60"/>
      </w:pPr>
      <w:r>
        <w:t>4  Recommandations décision et suivi  •  1,5 h</w:t>
      </w:r>
    </w:p>
    <w:p>
      <w:pPr>
        <w:spacing w:after="100"/>
      </w:pPr>
      <w:r>
        <w:rPr>
          <w:b/>
        </w:rPr>
        <w:t xml:space="preserve">Atelier et livrable  </w:t>
      </w:r>
      <w:r>
        <w:t>Évaluer un service fictif et justifier trois améliorations et leurs limites. Le livrable est discuté puis corrigé avec la grille commune. Le temps de production est inclus dans les séquences 3 et 4.</w:t>
      </w:r>
    </w:p>
    <w:p>
      <w:pPr>
        <w:spacing w:after="100"/>
      </w:pPr>
      <w:r>
        <w:rPr>
          <w:b/>
        </w:rPr>
        <w:t xml:space="preserve">Articulation et vigilance  </w:t>
      </w:r>
      <w:r>
        <w:t>Ajout. P2 utilise les indicateurs pour piloter le projet de territoire P26A assemble le bilan sans répéter toute la méthode.</w:t>
      </w:r>
    </w:p>
    <w:p>
      <w:pPr>
        <w:pStyle w:val="Heading2"/>
        <w:pageBreakBefore/>
      </w:pPr>
      <w:r>
        <w:t>P30  Exercer la maîtrise d’ouvrage intercommunale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 programme d’équipement et une matrice des risques.</w:t>
      </w:r>
    </w:p>
    <w:p>
      <w:pPr>
        <w:spacing w:after="60"/>
      </w:pPr>
      <w:r>
        <w:t>1  Besoin programme coût global et choix d’investissement  •  3 h</w:t>
      </w:r>
    </w:p>
    <w:p>
      <w:pPr>
        <w:spacing w:after="60"/>
      </w:pPr>
      <w:r>
        <w:t>2  AMO maîtrise d œuvre responsabilités et marchés  •  4 h</w:t>
      </w:r>
    </w:p>
    <w:p>
      <w:pPr>
        <w:spacing w:after="60"/>
      </w:pPr>
      <w:r>
        <w:t>3  Pilotage risques coûts délais et gouvernance  •  4 h</w:t>
      </w:r>
    </w:p>
    <w:p>
      <w:pPr>
        <w:spacing w:after="60"/>
      </w:pPr>
      <w:r>
        <w:t>4  Réception garanties maintenance et retour d’expérience  •  3 h</w:t>
      </w:r>
    </w:p>
    <w:p>
      <w:pPr>
        <w:spacing w:after="100"/>
      </w:pPr>
      <w:r>
        <w:rPr>
          <w:b/>
        </w:rPr>
        <w:t xml:space="preserve">Atelier et livrable  </w:t>
      </w:r>
      <w:r>
        <w:t>Construire un programme d’équipement et une matrice des risques. Le livrable est discuté puis corrigé avec la grille commune. Le temps de production est inclus dans les séquences 3 et 4.</w:t>
      </w:r>
    </w:p>
    <w:p>
      <w:pPr>
        <w:spacing w:after="100"/>
      </w:pPr>
      <w:r>
        <w:rPr>
          <w:b/>
        </w:rPr>
        <w:t xml:space="preserve">Articulation et vigilance  </w:t>
      </w:r>
      <w:r>
        <w:t>Ajout. P7 porte sur l’achat P11A l’aménagement et P27 le financement. Le cas est choisi selon la compétence de l’EPCI.</w:t>
      </w:r>
    </w:p>
    <w:p>
      <w:pPr>
        <w:pStyle w:val="Heading2"/>
      </w:pPr>
      <w:r>
        <w:t>P31  Prévenir la corruption et préparer un contrôle AFA</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Produire une cartographie des risques et un plan d’action proportionné.</w:t>
      </w:r>
    </w:p>
    <w:p>
      <w:pPr>
        <w:spacing w:after="60"/>
      </w:pPr>
      <w:r>
        <w:t>1  Champ des contrôles AFA et cadre applicable  •  1,5 h</w:t>
      </w:r>
    </w:p>
    <w:p>
      <w:pPr>
        <w:spacing w:after="60"/>
      </w:pPr>
      <w:r>
        <w:t>2  Risques de probité dans les achats aides et décisions  •  2 h</w:t>
      </w:r>
    </w:p>
    <w:p>
      <w:pPr>
        <w:spacing w:after="60"/>
      </w:pPr>
      <w:r>
        <w:t>3  Contrôles internes alertes et responsabilités  •  2 h</w:t>
      </w:r>
    </w:p>
    <w:p>
      <w:pPr>
        <w:spacing w:after="60"/>
      </w:pPr>
      <w:r>
        <w:t>4  Documentation dispositif et plan d’amélioration  •  1,5 h</w:t>
      </w:r>
    </w:p>
    <w:p>
      <w:pPr>
        <w:spacing w:after="100"/>
      </w:pPr>
      <w:r>
        <w:rPr>
          <w:b/>
        </w:rPr>
        <w:t xml:space="preserve">Atelier et livrable  </w:t>
      </w:r>
      <w:r>
        <w:t>Produire une cartographie des risques et un plan d’action proportionné. Le livrable est discuté puis corrigé avec la grille commune. Le temps de production est inclus dans les séquences 3 et 4.</w:t>
      </w:r>
    </w:p>
    <w:p>
      <w:pPr>
        <w:spacing w:after="100"/>
      </w:pPr>
      <w:r>
        <w:rPr>
          <w:b/>
        </w:rPr>
        <w:t xml:space="preserve">Articulation et vigilance  </w:t>
      </w:r>
      <w:r>
        <w:t>Ajout extrait de P3. P3B concerne le déport individuel. Aucun seuil générique d’agents ou de budget ne vaut exclusion automatique des contrôles AFA.</w:t>
      </w:r>
    </w:p>
    <w:p>
      <w:pPr>
        <w:pStyle w:val="Heading2"/>
        <w:pageBreakBefore/>
      </w:pPr>
      <w:r>
        <w:t>P32  Décider en matière de dette et de trésorerie intercommunales</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Comparer trois offres incluant indemnités risques et hypothèses de taux.</w:t>
      </w:r>
    </w:p>
    <w:p>
      <w:pPr>
        <w:spacing w:after="60"/>
      </w:pPr>
      <w:r>
        <w:t>1  Portefeuille de dette contrats et échéances  •  1,5 h</w:t>
      </w:r>
    </w:p>
    <w:p>
      <w:pPr>
        <w:spacing w:after="60"/>
      </w:pPr>
      <w:r>
        <w:t>2  Taux liquidité budget principal et budgets annexes  •  2 h</w:t>
      </w:r>
    </w:p>
    <w:p>
      <w:pPr>
        <w:spacing w:after="60"/>
      </w:pPr>
      <w:r>
        <w:t>3  Comparaison conservation renégociation et refinancement  •  2 h</w:t>
      </w:r>
    </w:p>
    <w:p>
      <w:pPr>
        <w:spacing w:after="60"/>
      </w:pPr>
      <w:r>
        <w:t>4  Coût total sensibilité et traçabilité de la décision  •  1,5 h</w:t>
      </w:r>
    </w:p>
    <w:p>
      <w:pPr>
        <w:spacing w:after="100"/>
      </w:pPr>
      <w:r>
        <w:rPr>
          <w:b/>
        </w:rPr>
        <w:t xml:space="preserve">Atelier et livrable  </w:t>
      </w:r>
      <w:r>
        <w:t>Comparer trois offres incluant indemnités risques et hypothèses de taux. Le livrable est discuté puis corrigé avec la grille commune. Le temps de production est inclus dans les séquences 3 et 4.</w:t>
      </w:r>
    </w:p>
    <w:p>
      <w:pPr>
        <w:spacing w:after="100"/>
      </w:pPr>
      <w:r>
        <w:rPr>
          <w:b/>
        </w:rPr>
        <w:t xml:space="preserve">Articulation et vigilance  </w:t>
      </w:r>
      <w:r>
        <w:t>Ajout extrait de P5. Connaissance du budget ou suivi de P5 recommandé. Aucun gain de renégociation n est garanti.</w:t>
      </w:r>
    </w:p>
    <w:p>
      <w:pPr>
        <w:pStyle w:val="Heading2"/>
      </w:pPr>
      <w:r>
        <w:t>P33  Choisir et contrôler le mode de gestion d’un service intercommunal</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Comparer trois modes de gestion d’un même service et rédiger une note de choix.</w:t>
      </w:r>
    </w:p>
    <w:p>
      <w:pPr>
        <w:spacing w:after="60"/>
      </w:pPr>
      <w:r>
        <w:t>1  Compétence besoin et niveau de service  •  1,5 h</w:t>
      </w:r>
    </w:p>
    <w:p>
      <w:pPr>
        <w:spacing w:after="60"/>
      </w:pPr>
      <w:r>
        <w:t>2  Régie marché concession DSP et autres portages  •  2 h</w:t>
      </w:r>
    </w:p>
    <w:p>
      <w:pPr>
        <w:spacing w:after="60"/>
      </w:pPr>
      <w:r>
        <w:t>3  Coûts risque d’exploitation contrôle et réversibilité  •  2 h</w:t>
      </w:r>
    </w:p>
    <w:p>
      <w:pPr>
        <w:spacing w:after="60"/>
      </w:pPr>
      <w:r>
        <w:t>4  Choix motivé contrat et suivi de la qualité  •  1,5 h</w:t>
      </w:r>
    </w:p>
    <w:p>
      <w:pPr>
        <w:spacing w:after="100"/>
      </w:pPr>
      <w:r>
        <w:rPr>
          <w:b/>
        </w:rPr>
        <w:t xml:space="preserve">Atelier et livrable  </w:t>
      </w:r>
      <w:r>
        <w:t>Comparer trois modes de gestion d’un même service et rédiger une note de choix. Le livrable est discuté puis corrigé avec la grille commune. Le temps de production est inclus dans les séquences 3 et 4.</w:t>
      </w:r>
    </w:p>
    <w:p>
      <w:pPr>
        <w:spacing w:after="100"/>
      </w:pPr>
      <w:r>
        <w:rPr>
          <w:b/>
        </w:rPr>
        <w:t xml:space="preserve">Articulation et vigilance  </w:t>
      </w:r>
      <w:r>
        <w:t>Ajout extrait de P7. P8 approfondit les EPL. La qualification concession repose notamment sur le transfert du risque d’exploitation.</w:t>
      </w:r>
    </w:p>
    <w:p>
      <w:pPr>
        <w:pStyle w:val="Heading2"/>
        <w:pageBreakBefore/>
      </w:pPr>
      <w:r>
        <w:t>P34  Piloter les projets énergétiques et le patrimoine intercommunal</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Comparer deux scénarios de rénovation énergétique et un montage solaire avec analyse de sensibilité.</w:t>
      </w:r>
    </w:p>
    <w:p>
      <w:pPr>
        <w:spacing w:after="60"/>
      </w:pPr>
      <w:r>
        <w:t>1  Inventaire état consommations et obligations du patrimoine  •  3 h</w:t>
      </w:r>
    </w:p>
    <w:p>
      <w:pPr>
        <w:spacing w:after="60"/>
      </w:pPr>
      <w:r>
        <w:t>2  Rénovation sobriété photovoltaïque et besoins réels  •  4 h</w:t>
      </w:r>
    </w:p>
    <w:p>
      <w:pPr>
        <w:spacing w:after="60"/>
      </w:pPr>
      <w:r>
        <w:t>3  Montages contractuels compétences financement et coût global  •  4 h</w:t>
      </w:r>
    </w:p>
    <w:p>
      <w:pPr>
        <w:spacing w:after="60"/>
      </w:pPr>
      <w:r>
        <w:t>4  Maintenance mesure des résultats et contrôle des engagements  •  3 h</w:t>
      </w:r>
    </w:p>
    <w:p>
      <w:pPr>
        <w:spacing w:after="100"/>
      </w:pPr>
      <w:r>
        <w:rPr>
          <w:b/>
        </w:rPr>
        <w:t xml:space="preserve">Atelier et livrable  </w:t>
      </w:r>
      <w:r>
        <w:t>Comparer deux scénarios de rénovation énergétique et un montage solaire avec analyse de sensibilité. Le livrable est discuté puis corrigé avec la grille commune. Le temps de production est inclus dans les séquences 3 et 4.</w:t>
      </w:r>
    </w:p>
    <w:p>
      <w:pPr>
        <w:spacing w:after="100"/>
      </w:pPr>
      <w:r>
        <w:rPr>
          <w:b/>
        </w:rPr>
        <w:t xml:space="preserve">Articulation et vigilance  </w:t>
      </w:r>
      <w:r>
        <w:t>Ajout extrait de P13. P13 reste centré sur le PCAET. Méthanisation hydrogène ou technologie innovante sont étudiés comme options à évaluer et non comme réponses adaptées par principe à tout EPCI.</w:t>
      </w:r>
    </w:p>
    <w:p>
      <w:pPr>
        <w:pStyle w:val="Heading1"/>
        <w:pageBreakBefore/>
      </w:pPr>
      <w:r>
        <w:t>Parcours et conditions financières</w:t>
      </w:r>
    </w:p>
    <w:p>
      <w:pPr>
        <w:pStyle w:val="Heading2"/>
      </w:pPr>
      <w:r>
        <w:t>Sélections recommandées</w:t>
      </w:r>
    </w:p>
    <w:tbl>
      <w:tblPr>
        <w:tblW w:type="auto" w:w="0"/>
        <w:tblLayout w:type="fixed"/>
        <w:tblLook w:firstColumn="1" w:firstRow="1" w:lastColumn="0" w:lastRow="0" w:noHBand="0" w:noVBand="1" w:val="04A0"/>
      </w:tblPr>
      <w:tblGrid>
        <w:gridCol w:w="3061"/>
        <w:gridCol w:w="5953"/>
        <w:gridCol w:w="1134"/>
      </w:tblGrid>
      <w:tr>
        <w:trPr>
          <w:tblHeade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Sélection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Modules</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Heures</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Installation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 • P3A • P3B • P4 • P5</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49</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Stratégie et coopération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 • P6 • P25A • P23B</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42</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Projet et investissement</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P11A • P30 • P7 • P27</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42</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Services et résilience</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P14A • P14B • P22B • P24B</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35</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Évaluation et passation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P29 • P26A • P26B</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21</w:t>
            </w:r>
          </w:p>
        </w:tc>
      </w:tr>
    </w:tbl>
    <w:p>
      <w:r>
        <w:t>Un positionnement initial permet de retirer les modules déjà maîtrisés. Les mêmes acquis ne sont pas facturés à nouveau lors du passage du socle à un approfondissement. Les sujets communaux, ruraux, intercommunaux et départementaux mobilisent des contenus communs lorsque l’objectif est identique, avec des cas adaptés à la collectivité et des codes propres à chaque sélection.</w:t>
      </w:r>
    </w:p>
    <w:p>
      <w:pPr>
        <w:pStyle w:val="Heading2"/>
      </w:pPr>
      <w:r>
        <w:t>Tarifs indicatifs issus des documents fournis</w:t>
      </w:r>
    </w:p>
    <w:tbl>
      <w:tblPr>
        <w:tblW w:type="auto" w:w="0"/>
        <w:tblLayout w:type="fixed"/>
        <w:tblLook w:firstColumn="1" w:firstRow="1" w:lastColumn="0" w:lastRow="0" w:noHBand="0" w:noVBand="1" w:val="04A0"/>
      </w:tblPr>
      <w:tblGrid>
        <w:gridCol w:w="4082"/>
        <w:gridCol w:w="850"/>
        <w:gridCol w:w="2665"/>
        <w:gridCol w:w="2551"/>
      </w:tblGrid>
      <w:tr>
        <w:trPr>
          <w:tblHeade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Offre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Heures</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Euros HT par élu</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Euros HT par heure</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Socle P1</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840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60,0</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Journée optionnelle du socle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420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60,0</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standard</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440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62,86</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standard</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880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62,86</w:t>
            </w:r>
          </w:p>
        </w:tc>
      </w:tr>
    </w:tbl>
    <w:p>
      <w:r>
        <w:t>Cette grille reprend les tarifs spécifiques affichés dans les fiches sources et corrige les divisions horaires. Les intitulés de tarifs liés à AMRF, AMF ou à un département ne prouvent pas un partenariat. Les compléments et les modules issus de scissions utilisent la base indicative standard ; leur prix définitif, le régime de TVA, le total TTC, les frais et les conditions d’annulation restent à établir sur devis.</w:t>
      </w:r>
    </w:p>
    <w:p>
      <w:pPr>
        <w:pStyle w:val="Heading2"/>
      </w:pPr>
      <w:r>
        <w:t>Financement</w:t>
      </w:r>
    </w:p>
    <w:p>
      <w:r>
        <w:t>Le plafond DIFE est de 80 euros HT par heure de frais pédagogiques et l’effectif maximal de quinze participants. Ces limites ne suffisent pas à établir l’éligibilité : organisme agréé, rattachement de l’action au répertoire, conditions du dispositif et droits disponibles doivent être vérifiés. Aucun financement intégral n est promis. Les modules de transition professionnelle sont des actions d’orientation ; leur financement et leur éventuelle transformation en bilan de compétences ou action CPF exigent un dossier distinct.</w:t>
      </w:r>
    </w:p>
    <w:p>
      <w:pPr>
        <w:pStyle w:val="Heading1"/>
        <w:pageBreakBefore/>
      </w:pPr>
      <w:r>
        <w:t>Formats courts et déploiement proposé</w:t>
      </w:r>
    </w:p>
    <w:tbl>
      <w:tblPr>
        <w:tblW w:type="auto" w:w="0"/>
        <w:tblLayout w:type="fixed"/>
        <w:tblLook w:firstColumn="1" w:firstRow="1" w:lastColumn="0" w:lastRow="0" w:noHBand="0" w:noVBand="1" w:val="04A0"/>
      </w:tblPr>
      <w:tblGrid>
        <w:gridCol w:w="4082"/>
        <w:gridCol w:w="850"/>
        <w:gridCol w:w="2665"/>
        <w:gridCol w:w="2551"/>
      </w:tblGrid>
      <w:tr>
        <w:trPr>
          <w:tblHeade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Format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Heures</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Euros HT par élu</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Euros HT par heure</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Matinale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3,5</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280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80</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Webinaire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1,5</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120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80</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Atelier</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3,5</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250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71,43</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Session inter EPCI</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380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54,29</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Session intra EPCI</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Sur mesure</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Sur devis</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À calculer</w:t>
            </w:r>
          </w:p>
        </w:tc>
      </w:tr>
    </w:tbl>
    <w:p>
      <w:r>
        <w:t>Tarifs indicatifs repris du programme fourni. La matinale et le webinaire atteignent le plafond horaire DIFE de 80 euros HT ; ils ne sont pas strictement inférieurs à ce plafond. Leur éligibilité doit être vérifiée individuellement. Les groupes intra peuvent être proposés à partir de six participants sur devis, sans dépasser quinze si le DIFE finance tout ou partie de la session.</w:t>
      </w:r>
    </w:p>
    <w:p>
      <w:pPr>
        <w:pStyle w:val="Heading2"/>
      </w:pPr>
      <w:r>
        <w:t>Objectifs distincts des formats courts</w:t>
      </w:r>
    </w:p>
    <w:p>
      <w:r>
        <w:t>Matinale : comprendre une actualité et décider des vérifications à effectuer. Exemple : eau et assainissement après la loi du 11 avril 2025, avec carte des compétences à produire. Webinaire : identifier les conséquences d’un changement réglementaire à partir d’un cas et d’un questionnaire final. Atelier : produire un outil limité, par exemple une matrice de responsabilités ou une grille de financement. Inter EPCI : travailler un objectif de 7 h avec comparaison de contextes. Intra EPCI : adapter une fiche au contexte local sans réduire les exigences d’évaluation.</w:t>
      </w:r>
    </w:p>
    <w:p>
      <w:pPr>
        <w:pStyle w:val="Heading2"/>
      </w:pPr>
      <w:r>
        <w:t>Partenariat et calendrier</w:t>
      </w:r>
    </w:p>
    <w:p>
      <w:r>
        <w:t>Intercommunalités de France est un partenaire envisagé dans le document initial. En l’absence de convention établie dans les pièces fournies, aucun partenariat actif, tarif réservé aux adhérents, relais régional ou engagement de recommandation n est annoncé. Une proposition peut préciser co construction des cas, diffusion, logistique et bilan annuel, après accord des deux organisations.</w:t>
      </w:r>
    </w:p>
    <w:p>
      <w:r>
        <w:t>Le déploiement peut suivre quatre temps : installation et fondamentaux ; approfondissement des compétences et des investissements ; actualisation et évaluation à mi mandat ; bilan et passation. Aucune ouverture automatique des modules en 2027, couverture de toutes les régions ou session datée de 2031 à 2032 n est promise. Les remises de groupe du document initial restent à valider ; une remise pour quinze élus ou plus ne permet pas de dépasser quinze participants dans une session financée par le DIFE.</w:t>
      </w:r>
    </w:p>
    <w:p>
      <w:pPr>
        <w:pStyle w:val="Heading1"/>
        <w:pageBreakBefore/>
      </w:pPr>
      <w:r>
        <w:t>Préparer et valider chaque offre</w:t>
      </w:r>
    </w:p>
    <w:p>
      <w:pPr>
        <w:pStyle w:val="Heading2"/>
      </w:pPr>
      <w:r>
        <w:t>État commun à toutes les fiches</w:t>
      </w:r>
    </w:p>
    <w:tbl>
      <w:tblPr>
        <w:tblW w:type="auto" w:w="0"/>
        <w:tblLayout w:type="fixed"/>
        <w:tblLook w:firstColumn="1" w:firstRow="1" w:lastColumn="0" w:lastRow="0" w:noHBand="0" w:noVBand="1" w:val="04A0"/>
      </w:tblPr>
      <w:tblGrid>
        <w:gridCol w:w="2324"/>
        <w:gridCol w:w="3061"/>
        <w:gridCol w:w="4757"/>
      </w:tblGrid>
      <w:tr>
        <w:trPr>
          <w:tblHeade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Élément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État de cette édition</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Validation attendue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Titre public objectifs durée</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Rédigés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Validation pédagogique et commerciale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Déroulé de session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Quatre séquences proposées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Déroulé minute outils et consignes</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Intervenant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Non confirmé par les pièces disponibles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Nom compétence accord disponibilité et rôle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Supports et cas</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À produire ou à vérifier</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Support daté droits de réutilisation dossier corrigé</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Évaluation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Livrable et critères proposés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Grille détaillée corrigé et modalités de retour</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Moyens et accessibilité</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À organiser</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Salle ou outil testés aménagements et référent</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Cadre administratif et financement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Non établi par le catalogue</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Agrément conditions devis et éligibilité vérifiés</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Session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Date non confirmée</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Calendrier inscription et conditions de réalisation</w:t>
            </w:r>
          </w:p>
        </w:tc>
      </w:tr>
    </w:tbl>
    <w:p>
      <w:pPr>
        <w:pStyle w:val="Heading2"/>
      </w:pPr>
      <w:r>
        <w:t>Expertises à mobiliser</w:t>
      </w:r>
    </w:p>
    <w:p>
      <w:r>
        <w:t>Fondamentaux, risques et probité : juriste en droit public et expert des risques selon le sujet. Finances : spécialiste des finances locales. RH : expert de la fonction publique territoriale. Politiques sectorielles : professionnel du secteur et praticien territorial. Projets et patrimoine : spécialiste de la maîtrise d’ouvrage ou ingénieur. Communication et participation : praticien de la communication publique ou de la concertation. Numérique : expert des données, de l’IA ou de la cybersécurité selon la fiche. Transition professionnelle : spécialiste de l’orientation, de la VAE ou du bilan réglementé selon l’action effectivement proposée.</w:t>
      </w:r>
    </w:p>
    <w:p>
      <w:r>
        <w:t>Aucune fiche ne passe au statut session ouverte tant que les validations correspondantes ne sont pas renseignées.</w:t>
      </w:r>
    </w:p>
    <w:p>
      <w:pPr>
        <w:pStyle w:val="Heading2"/>
      </w:pPr>
      <w:r>
        <w:t>Règle de publication</w:t>
      </w:r>
    </w:p>
    <w:p>
      <w:r>
        <w:t>Sur le site, présenter ces offres comme programmes proposés tant que leurs moyens restent à confirmer. Afficher les dates, intervenants et modalités d’inscription uniquement après validation. Le passage à offre prête exige programme validé, intervenant engagé, supports disponibles, évaluation prête, moyens accessibles et cadre administratif vérifié.</w:t>
      </w:r>
    </w:p>
    <w:p>
      <w:pPr>
        <w:pStyle w:val="Heading1"/>
        <w:pageBreakBefore/>
      </w:pPr>
      <w:r>
        <w:t>Correspondance avec le programme initial</w:t>
      </w:r>
    </w:p>
    <w:p>
      <w:r>
        <w:t>Compléments ajoutés : P27, P28, P29, P30, P31, P32, P33, P34. Les titres sont reformulés autour d’une compétence observable. Les répétitions et fragments de balisage ont été supprimés.</w:t>
      </w:r>
    </w:p>
    <w:tbl>
      <w:tblPr>
        <w:tblW w:type="auto" w:w="0"/>
        <w:tblLayout w:type="fixed"/>
        <w:tblLook w:firstColumn="1" w:firstRow="1" w:lastColumn="0" w:lastRow="0" w:noHBand="0" w:noVBand="1" w:val="04A0"/>
      </w:tblPr>
      <w:tblGrid>
        <w:gridCol w:w="1701"/>
        <w:gridCol w:w="5669"/>
        <w:gridCol w:w="2772"/>
      </w:tblGrid>
      <w:tr>
        <w:trPr>
          <w:tblHeade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Code initial</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Fiches de cette édition</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Traitement</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P3A • P3B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P4</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P5</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P5</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P6</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P6</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P7</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P7</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P8</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P8</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P9</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P9</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P10</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P10</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P11A • P11B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P13</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P14A • P14B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P15</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P15</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P16</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P16</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P17</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P17</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P18</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P18A • P18B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P19</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P19</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P20</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P20A • P20B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P21A • P21B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P22A • P22B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P23A • P23B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P24A • P24B • P24C</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P25</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P25A • P25B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P26</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P26A • P26B • P26C</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bl>
    <w:p>
      <w:pPr>
        <w:pStyle w:val="Heading1"/>
        <w:pageBreakBefore/>
      </w:pPr>
      <w:r>
        <w:t>Références et actualisation</w:t>
      </w:r>
    </w:p>
    <w:p>
      <w:r>
        <w:t>Sources de vérification au 8 octobre 2026. Ces références établissent le cadre des corrections ; elles ne remplacent pas la bibliographie juridique datée à préparer pour chaque module. La loi applicable est revérifiée pour toute session ultérieure.</w:t>
      </w:r>
    </w:p>
    <w:p>
      <w:pPr>
        <w:pStyle w:val="Heading3"/>
      </w:pPr>
      <w:r>
        <w:t>Répertoire national des formations liées au mandat</w:t>
      </w:r>
    </w:p>
    <w:p>
      <w:r>
        <w:t>Arrêté du 13 avril 2023 et son annexe</w:t>
      </w:r>
    </w:p>
    <w:p>
      <w:pPr>
        <w:spacing w:after="180"/>
      </w:pPr>
      <w:r>
        <w:rPr>
          <w:sz w:val="17"/>
        </w:rPr>
        <w:t>https://www.legifrance.gouv.fr/loda/id/JORFTEXT000047495682/</w:t>
      </w:r>
    </w:p>
    <w:p>
      <w:pPr>
        <w:pStyle w:val="Heading3"/>
      </w:pPr>
      <w:r>
        <w:t>Formation des élus et financement</w:t>
      </w:r>
    </w:p>
    <w:p>
      <w:r>
        <w:t>DGCL et Caisse des Dépôts, conditions de mobilisation du DIFE</w:t>
      </w:r>
    </w:p>
    <w:p>
      <w:pPr>
        <w:spacing w:after="180"/>
      </w:pPr>
      <w:r>
        <w:rPr>
          <w:sz w:val="17"/>
        </w:rPr>
        <w:t>https://www.collectivites-locales.gouv.fr/connaitre-les-acteurs-et-les-institutions/elus-locaux/conditions-dexercice-des-mandats-locaux/droit-la-formation</w:t>
      </w:r>
    </w:p>
    <w:p>
      <w:pPr>
        <w:pStyle w:val="Heading3"/>
      </w:pPr>
      <w:r>
        <w:t>Plafond horaire et effectif DIFE</w:t>
      </w:r>
    </w:p>
    <w:p>
      <w:r>
        <w:t>Mon Compte Formation, formation dans le cadre du mandat</w:t>
      </w:r>
    </w:p>
    <w:p>
      <w:pPr>
        <w:spacing w:after="180"/>
      </w:pPr>
      <w:r>
        <w:rPr>
          <w:sz w:val="17"/>
        </w:rPr>
        <w:t>https://www.moncompteformation.gouv.fr/espace-public/comment-me-former-dans-le-cadre-de-mon-mandat</w:t>
      </w:r>
    </w:p>
    <w:p>
      <w:pPr>
        <w:pStyle w:val="Heading3"/>
      </w:pPr>
      <w:r>
        <w:t>Réinsertion professionnelle</w:t>
      </w:r>
    </w:p>
    <w:p>
      <w:r>
        <w:t>Portail des organismes, formations éligibles au DIF Élus</w:t>
      </w:r>
    </w:p>
    <w:p>
      <w:pPr>
        <w:spacing w:after="180"/>
      </w:pPr>
      <w:r>
        <w:rPr>
          <w:sz w:val="17"/>
        </w:rPr>
        <w:t>https://of.moncompteformation.gouv.fr/espace-public/aide/quelles-sont-les-formations-eligibles-au-dif-elus</w:t>
      </w:r>
    </w:p>
    <w:p>
      <w:pPr>
        <w:pStyle w:val="Heading3"/>
      </w:pPr>
      <w:r>
        <w:t>Statut de l’élu et congé de formation</w:t>
      </w:r>
    </w:p>
    <w:p>
      <w:r>
        <w:t>Loi numéro 2025 1249 du 22 décembre 2025 et CGCT actualisé</w:t>
      </w:r>
    </w:p>
    <w:p>
      <w:pPr>
        <w:spacing w:after="180"/>
      </w:pPr>
      <w:r>
        <w:rPr>
          <w:sz w:val="17"/>
        </w:rPr>
        <w:t>https://www.legifrance.gouv.fr/jorf/id/JORFTEXT000053142169</w:t>
      </w:r>
    </w:p>
    <w:p>
      <w:pPr>
        <w:pStyle w:val="Heading3"/>
      </w:pPr>
      <w:r>
        <w:t>Compte financier unique</w:t>
      </w:r>
    </w:p>
    <w:p>
      <w:r>
        <w:t>DGCL, CFU obligatoire pour les comptes 2026, production en 2027</w:t>
      </w:r>
    </w:p>
    <w:p>
      <w:pPr>
        <w:spacing w:after="180"/>
      </w:pPr>
      <w:r>
        <w:rPr>
          <w:sz w:val="17"/>
        </w:rPr>
        <w:t>https://www.collectivites-locales.gouv.fr/gerer-les-finances-publiques-locales/budget/le-compte-financier-unique-cfu</w:t>
      </w:r>
    </w:p>
    <w:p>
      <w:pPr>
        <w:pStyle w:val="Heading3"/>
      </w:pPr>
      <w:r>
        <w:t>Responsabilité financière des gestionnaires publics</w:t>
      </w:r>
    </w:p>
    <w:p>
      <w:r>
        <w:t>Ordonnance numéro 2022 408 du 23 mars 2022 et code des juridictions financières</w:t>
      </w:r>
    </w:p>
    <w:p>
      <w:pPr>
        <w:spacing w:after="180"/>
      </w:pPr>
      <w:r>
        <w:rPr>
          <w:sz w:val="17"/>
        </w:rPr>
        <w:t>https://www.legifrance.gouv.fr/jorf/id/JORFTEXT000045398055</w:t>
      </w:r>
    </w:p>
    <w:p>
      <w:pPr>
        <w:pStyle w:val="Heading3"/>
      </w:pPr>
      <w:r>
        <w:t>Contrôles AFA</w:t>
      </w:r>
    </w:p>
    <w:p>
      <w:r>
        <w:t>AFA, contrôles des acteurs publics</w:t>
      </w:r>
    </w:p>
    <w:p>
      <w:pPr>
        <w:spacing w:after="180"/>
      </w:pPr>
      <w:r>
        <w:rPr>
          <w:sz w:val="17"/>
        </w:rPr>
        <w:t>https://www.agence-francaise-anticorruption.gouv.fr/acteurs-publics/tout-savoir-sur-les-controles-de-lafa-acteurs-publics</w:t>
      </w:r>
    </w:p>
    <w:p>
      <w:pPr>
        <w:pStyle w:val="Heading3"/>
      </w:pPr>
      <w:r>
        <w:t>Eau et assainissement</w:t>
      </w:r>
    </w:p>
    <w:p>
      <w:r>
        <w:t>Loi numéro 2025 327 du 11 avril 2025</w:t>
      </w:r>
    </w:p>
    <w:p>
      <w:pPr>
        <w:spacing w:after="180"/>
      </w:pPr>
      <w:r>
        <w:rPr>
          <w:sz w:val="17"/>
        </w:rPr>
        <w:t>https://www.legifrance.gouv.fr/jorf/id/JORFTEXT000051451755</w:t>
      </w:r>
    </w:p>
    <w:p>
      <w:pPr>
        <w:pStyle w:val="Heading3"/>
      </w:pPr>
      <w:r>
        <w:t>Préemption et réalité du projet</w:t>
      </w:r>
    </w:p>
    <w:p>
      <w:r>
        <w:t>Conseil d’État, Commune de Meung sur Loire, 7 mars 2008, numéro 288371</w:t>
      </w:r>
    </w:p>
    <w:p>
      <w:pPr>
        <w:spacing w:after="180"/>
      </w:pPr>
      <w:r>
        <w:rPr>
          <w:sz w:val="17"/>
        </w:rPr>
        <w:t>https://www.legifrance.gouv.fr/ceta/id/CETATEXT000018396541/</w:t>
      </w:r>
    </w:p>
    <w:p>
      <w:pPr>
        <w:pStyle w:val="Heading3"/>
      </w:pPr>
      <w:r>
        <w:t>Patrimoine tertiaire</w:t>
      </w:r>
    </w:p>
    <w:p>
      <w:r>
        <w:t>Ministère de la Transition écologique, Éco Énergie Tertiaire</w:t>
      </w:r>
    </w:p>
    <w:p>
      <w:pPr>
        <w:spacing w:after="180"/>
      </w:pPr>
      <w:r>
        <w:rPr>
          <w:sz w:val="17"/>
        </w:rPr>
        <w:t>https://www.ecologie.gouv.fr/politiques-publiques/eco-energie-tertiaire-eet</w:t>
      </w:r>
    </w:p>
    <w:p>
      <w:pPr>
        <w:pStyle w:val="Heading3"/>
      </w:pPr>
      <w:r>
        <w:t>ORSEC départemental</w:t>
      </w:r>
    </w:p>
    <w:p>
      <w:r>
        <w:t>Code de la sécurité intérieure, article L741 2</w:t>
      </w:r>
    </w:p>
    <w:p>
      <w:pPr>
        <w:spacing w:after="180"/>
      </w:pPr>
      <w:r>
        <w:rPr>
          <w:sz w:val="17"/>
        </w:rPr>
        <w:t>https://www.legifrance.gouv.fr/codes/article_lc/LEGIARTI000025506869</w:t>
      </w:r>
    </w:p>
    <w:p>
      <w:pPr>
        <w:pStyle w:val="Heading3"/>
      </w:pPr>
      <w:r>
        <w:t>Compétences des communautés de communes</w:t>
      </w:r>
    </w:p>
    <w:p>
      <w:r>
        <w:t>CGCT article L5214 16 actualisé après la loi du 11 avril 2025</w:t>
      </w:r>
    </w:p>
    <w:p>
      <w:pPr>
        <w:spacing w:after="180"/>
      </w:pPr>
      <w:r>
        <w:rPr>
          <w:sz w:val="17"/>
        </w:rPr>
        <w:t>https://www.legifrance.gouv.fr/codes/article_lc/LEGIARTI000051459827</w:t>
      </w:r>
    </w:p>
    <w:p>
      <w:pPr>
        <w:pStyle w:val="Heading3"/>
      </w:pPr>
      <w:r>
        <w:t>Représentation et conflits d’intérêts</w:t>
      </w:r>
    </w:p>
    <w:p>
      <w:r>
        <w:t>CGCT article L1111 6 modifié par la loi du 22 décembre 2025</w:t>
      </w:r>
    </w:p>
    <w:p>
      <w:pPr>
        <w:spacing w:after="180"/>
      </w:pPr>
      <w:r>
        <w:rPr>
          <w:sz w:val="17"/>
        </w:rPr>
        <w:t>https://www.legifrance.gouv.fr/codes/section_lc/LEGITEXT000006070633/LEGISCTA000045199291/</w:t>
      </w:r>
    </w:p>
    <w:p>
      <w:pPr>
        <w:pStyle w:val="Heading3"/>
      </w:pPr>
      <w:r>
        <w:t>Police du président d’EPCI</w:t>
      </w:r>
    </w:p>
    <w:p>
      <w:r>
        <w:t>CGCT article L5211 9 2 transferts oppositions et renonciations</w:t>
      </w:r>
    </w:p>
    <w:p>
      <w:pPr>
        <w:spacing w:after="180"/>
      </w:pPr>
      <w:r>
        <w:rPr>
          <w:sz w:val="17"/>
        </w:rPr>
        <w:t>https://www.legifrance.gouv.fr/codes/section_lc/LEGITEXT000006070633/LEGISCTA000006197603/</w:t>
      </w:r>
    </w:p>
    <w:p>
      <w:pPr>
        <w:pStyle w:val="Heading3"/>
      </w:pPr>
      <w:r>
        <w:t>Plan intercommunal de sauvegarde</w:t>
      </w:r>
    </w:p>
    <w:p>
      <w:r>
        <w:t>Code de la sécurité intérieure article L731 4</w:t>
      </w:r>
    </w:p>
    <w:p>
      <w:pPr>
        <w:spacing w:after="180"/>
      </w:pPr>
      <w:r>
        <w:rPr>
          <w:sz w:val="17"/>
        </w:rPr>
        <w:t>https://www.legifrance.gouv.fr/codes/id/LEGISCTA000044375302</w:t>
      </w:r>
    </w:p>
    <w:p>
      <w:pPr>
        <w:pStyle w:val="Heading3"/>
      </w:pPr>
      <w:r>
        <w:t>Autorité organisatrice de l’habitat</w:t>
      </w:r>
    </w:p>
    <w:p>
      <w:r>
        <w:t>Code de la construction et de l’habitation article L301 5 1 3</w:t>
      </w:r>
    </w:p>
    <w:p>
      <w:pPr>
        <w:spacing w:after="180"/>
      </w:pPr>
      <w:r>
        <w:rPr>
          <w:sz w:val="17"/>
        </w:rPr>
        <w:t>https://www.legifrance.gouv.fr/loda/article_lc/LEGIARTI000045201824</w:t>
      </w:r>
    </w:p>
    <w:p>
      <w:pPr>
        <w:pStyle w:val="Heading3"/>
      </w:pPr>
      <w:r>
        <w:t>Eau et assainissement intercommunaux</w:t>
      </w:r>
    </w:p>
    <w:p>
      <w:r>
        <w:t>DGCL catégories d’EPCI transferts et effets de la loi de 2025</w:t>
      </w:r>
    </w:p>
    <w:p>
      <w:pPr>
        <w:spacing w:after="180"/>
      </w:pPr>
      <w:r>
        <w:rPr>
          <w:sz w:val="17"/>
        </w:rPr>
        <w:t>https://www.collectivites-locales.gouv.fr/animer-les-territoires/environnement-et-urbanisme/environnement-energie-et-developpement-durable/leau-et-lassainissement</w:t>
      </w:r>
    </w:p>
    <w:sectPr w:rsidR="00FC693F" w:rsidRPr="0006063C" w:rsidSect="00034616">
      <w:headerReference w:type="default" r:id="rId9"/>
      <w:footerReference w:type="default" r:id="rId10"/>
      <w:pgSz w:w="12240" w:h="15840"/>
      <w:pgMar w:top="935" w:right="1049" w:bottom="907" w:left="104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Révision du 8 octobre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XXI Formations  |  Élus intercommunaux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00"/>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40"/>
    </w:pPr>
    <w:rPr>
      <w:rFonts w:asciiTheme="majorHAnsi" w:eastAsiaTheme="majorEastAsia" w:hAnsiTheme="majorHAnsi" w:cstheme="majorBidi" w:ascii="Calibri" w:hAnsi="Calibri"/>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